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CC221" w14:textId="35674CEC" w:rsidR="003F28F1" w:rsidRPr="006E473F" w:rsidRDefault="003F28F1" w:rsidP="003F28F1">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6bis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F4B21">
        <w:rPr>
          <w:b/>
          <w:i/>
          <w:noProof/>
          <w:sz w:val="24"/>
          <w:szCs w:val="24"/>
          <w:lang w:eastAsia="ko-KR"/>
        </w:rPr>
        <w:t>6</w:t>
      </w:r>
      <w:r w:rsidR="00B3289B">
        <w:rPr>
          <w:b/>
          <w:i/>
          <w:noProof/>
          <w:sz w:val="24"/>
          <w:szCs w:val="24"/>
          <w:lang w:eastAsia="ko-KR"/>
        </w:rPr>
        <w:t>12471</w:t>
      </w:r>
      <w:bookmarkStart w:id="2" w:name="_GoBack"/>
      <w:bookmarkEnd w:id="2"/>
    </w:p>
    <w:bookmarkEnd w:id="0"/>
    <w:bookmarkEnd w:id="1"/>
    <w:p w14:paraId="27475F69" w14:textId="77777777" w:rsidR="0025661C" w:rsidRPr="006E473F" w:rsidRDefault="0025661C" w:rsidP="0025661C">
      <w:pPr>
        <w:pStyle w:val="CRCoverPage"/>
        <w:spacing w:after="240"/>
        <w:outlineLvl w:val="0"/>
        <w:rPr>
          <w:b/>
          <w:noProof/>
          <w:sz w:val="24"/>
          <w:szCs w:val="24"/>
        </w:rPr>
      </w:pPr>
      <w:r>
        <w:rPr>
          <w:b/>
          <w:noProof/>
          <w:sz w:val="24"/>
          <w:szCs w:val="24"/>
          <w:lang w:eastAsia="ko-KR"/>
        </w:rPr>
        <w:t>Reno</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14</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18</w:t>
      </w:r>
      <w:r w:rsidRPr="00254CD7">
        <w:rPr>
          <w:b/>
          <w:noProof/>
          <w:sz w:val="24"/>
          <w:szCs w:val="24"/>
          <w:vertAlign w:val="superscript"/>
          <w:lang w:eastAsia="ko-KR"/>
        </w:rPr>
        <w:t>th</w:t>
      </w:r>
      <w:r>
        <w:rPr>
          <w:b/>
          <w:noProof/>
          <w:sz w:val="24"/>
          <w:szCs w:val="24"/>
          <w:lang w:eastAsia="ko-KR"/>
        </w:rPr>
        <w:t xml:space="preserve"> November 2016</w:t>
      </w:r>
    </w:p>
    <w:p w14:paraId="3696E544" w14:textId="18A9323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5661C">
        <w:rPr>
          <w:rFonts w:ascii="Arial" w:hAnsi="Arial"/>
          <w:sz w:val="24"/>
        </w:rPr>
        <w:t>7.1.2.6</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442A111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83146" w:rsidRPr="00F83146">
        <w:rPr>
          <w:rFonts w:ascii="Arial" w:hAnsi="Arial"/>
          <w:sz w:val="24"/>
        </w:rPr>
        <w:t>NR mobility in connected-active mode</w:t>
      </w:r>
      <w:r w:rsidR="00880928">
        <w:rPr>
          <w:rFonts w:ascii="Arial" w:hAnsi="Arial"/>
          <w:sz w:val="24"/>
        </w:rPr>
        <w:t xml:space="preserve"> </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5BA4CF23" w14:textId="2ACCA419" w:rsidR="00F83146" w:rsidRDefault="0025661C" w:rsidP="0025661C">
      <w:pPr>
        <w:pStyle w:val="maintext"/>
        <w:ind w:firstLine="400"/>
        <w:rPr>
          <w:lang w:val="en-US"/>
        </w:rPr>
      </w:pPr>
      <w:r>
        <w:rPr>
          <w:lang w:val="en-US"/>
        </w:rPr>
        <w:t xml:space="preserve">From RAN1#86, the following agreement was reached for the beam management and L3 mobility. </w:t>
      </w:r>
    </w:p>
    <w:p w14:paraId="07D55E3B" w14:textId="5B8701C6" w:rsidR="00582A5C" w:rsidRPr="00310A4E" w:rsidRDefault="00582A5C" w:rsidP="00F83146">
      <w:pPr>
        <w:spacing w:after="0"/>
        <w:rPr>
          <w:lang w:val="en-US"/>
        </w:rPr>
      </w:pPr>
      <w:r w:rsidRPr="00582A5C">
        <w:rPr>
          <w:noProof/>
          <w:lang w:val="en-US" w:eastAsia="ko-KR"/>
        </w:rPr>
        <w:drawing>
          <wp:inline distT="0" distB="0" distL="0" distR="0" wp14:anchorId="4221975C" wp14:editId="40057BB5">
            <wp:extent cx="2709097" cy="1885252"/>
            <wp:effectExtent l="0" t="0" r="0" b="127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3914" cy="1895563"/>
                    </a:xfrm>
                    <a:prstGeom prst="rect">
                      <a:avLst/>
                    </a:prstGeom>
                    <a:noFill/>
                    <a:ln>
                      <a:noFill/>
                    </a:ln>
                  </pic:spPr>
                </pic:pic>
              </a:graphicData>
            </a:graphic>
          </wp:inline>
        </w:drawing>
      </w:r>
      <w:r w:rsidRPr="00582A5C">
        <w:rPr>
          <w:noProof/>
          <w:lang w:val="en-US" w:eastAsia="ko-KR"/>
        </w:rPr>
        <w:drawing>
          <wp:inline distT="0" distB="0" distL="0" distR="0" wp14:anchorId="1015C24F" wp14:editId="0772426A">
            <wp:extent cx="3323664" cy="2487177"/>
            <wp:effectExtent l="0" t="0" r="0" b="889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1446" cy="2493000"/>
                    </a:xfrm>
                    <a:prstGeom prst="rect">
                      <a:avLst/>
                    </a:prstGeom>
                    <a:noFill/>
                    <a:ln>
                      <a:noFill/>
                    </a:ln>
                  </pic:spPr>
                </pic:pic>
              </a:graphicData>
            </a:graphic>
          </wp:inline>
        </w:drawing>
      </w:r>
    </w:p>
    <w:p w14:paraId="4B6DFCA8" w14:textId="77777777" w:rsidR="009F172E" w:rsidRDefault="009F172E" w:rsidP="00FD7698">
      <w:pPr>
        <w:pStyle w:val="maintext"/>
        <w:ind w:firstLine="400"/>
      </w:pPr>
    </w:p>
    <w:p w14:paraId="71A7F57E" w14:textId="77777777" w:rsidR="0025661C" w:rsidRPr="00F83146" w:rsidRDefault="0025661C" w:rsidP="0025661C">
      <w:pPr>
        <w:pStyle w:val="maintext"/>
        <w:ind w:firstLine="400"/>
      </w:pPr>
      <w:r w:rsidRPr="00582A5C">
        <w:t xml:space="preserve">From the above quoted agreements, it seems clear that in NR CONN-ACTIVE, </w:t>
      </w:r>
      <w:r>
        <w:t>b</w:t>
      </w:r>
      <w:r w:rsidRPr="00582A5C">
        <w:t xml:space="preserve">eam management can handle UE mobility in a certain area (“L1/L2 mobility area”), and RRC at least needs to be involved at least when the UE </w:t>
      </w:r>
      <w:r>
        <w:t xml:space="preserve">leaves this L1/L2 mobility area, as illustrated in Figure 1. </w:t>
      </w:r>
    </w:p>
    <w:p w14:paraId="07C02715" w14:textId="77777777" w:rsidR="0025661C" w:rsidRPr="009F172E" w:rsidRDefault="0025661C" w:rsidP="00FD7698">
      <w:pPr>
        <w:pStyle w:val="maintext"/>
        <w:ind w:firstLine="400"/>
      </w:pPr>
    </w:p>
    <w:p w14:paraId="375D2D94" w14:textId="2453A125" w:rsidR="00F83146" w:rsidRDefault="00582A5C" w:rsidP="00F83146">
      <w:pPr>
        <w:rPr>
          <w:lang w:eastAsia="ko-KR"/>
        </w:rPr>
      </w:pPr>
      <w:r w:rsidRPr="00582A5C">
        <w:rPr>
          <w:noProof/>
          <w:lang w:val="en-US" w:eastAsia="ko-KR"/>
        </w:rPr>
        <w:drawing>
          <wp:inline distT="0" distB="0" distL="0" distR="0" wp14:anchorId="3759BDCB" wp14:editId="08D2D4D0">
            <wp:extent cx="5949950" cy="996950"/>
            <wp:effectExtent l="0" t="0" r="0" b="0"/>
            <wp:docPr id="1026"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Object 1"/>
                    <pic:cNvPicPr>
                      <a:picLocks noChangeArrowheads="1"/>
                    </pic:cNvPicPr>
                  </pic:nvPicPr>
                  <pic:blipFill>
                    <a:blip r:embed="rId10">
                      <a:extLst>
                        <a:ext uri="{28A0092B-C50C-407E-A947-70E740481C1C}">
                          <a14:useLocalDpi xmlns:a14="http://schemas.microsoft.com/office/drawing/2010/main" val="0"/>
                        </a:ext>
                      </a:extLst>
                    </a:blip>
                    <a:srcRect t="-647" r="-1144" b="-970"/>
                    <a:stretch>
                      <a:fillRect/>
                    </a:stretch>
                  </pic:blipFill>
                  <pic:spPr bwMode="auto">
                    <a:xfrm>
                      <a:off x="0" y="0"/>
                      <a:ext cx="5949950"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63160E" w14:textId="28F5D7C9" w:rsidR="00582A5C" w:rsidRDefault="00582A5C" w:rsidP="00582A5C">
      <w:pPr>
        <w:jc w:val="center"/>
        <w:rPr>
          <w:lang w:eastAsia="ko-KR"/>
        </w:rPr>
      </w:pPr>
      <w:r>
        <w:rPr>
          <w:lang w:eastAsia="ko-KR"/>
        </w:rPr>
        <w:t>Figure 1. Mobility in NR CONN-ACTIVE</w:t>
      </w:r>
    </w:p>
    <w:p w14:paraId="4C4D859E" w14:textId="6547221B" w:rsidR="000E364F" w:rsidRDefault="00556096" w:rsidP="000E364F">
      <w:pPr>
        <w:pStyle w:val="Heading1"/>
        <w:tabs>
          <w:tab w:val="num" w:pos="0"/>
        </w:tabs>
        <w:ind w:left="799" w:hanging="799"/>
      </w:pPr>
      <w:r>
        <w:t>L3 Mobility</w:t>
      </w:r>
      <w:r w:rsidR="00B4684A">
        <w:t xml:space="preserve"> and RRM measurements</w:t>
      </w:r>
    </w:p>
    <w:p w14:paraId="3B39230C" w14:textId="5EC1E0FF" w:rsidR="00D21F77" w:rsidRPr="006563DE" w:rsidRDefault="00D21F77" w:rsidP="00D21F77">
      <w:pPr>
        <w:pStyle w:val="maintext"/>
        <w:ind w:firstLine="400"/>
      </w:pPr>
      <w:r>
        <w:t xml:space="preserve">In RAN2#95bis, the followings are agreed. </w:t>
      </w:r>
    </w:p>
    <w:p w14:paraId="1A025868"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Agreements for DL-based mobility in RRC_CONNECTED mode (optimized for data transmission, at least for network-controlled mobility) mobility with RRC involvement, concerning beams and the relation to the NR cell definition:</w:t>
      </w:r>
    </w:p>
    <w:p w14:paraId="67064779"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p>
    <w:p w14:paraId="76F0E7E9"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14:paraId="12FDD89F"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14:paraId="2F6C12B8"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p>
    <w:p w14:paraId="6016F735"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lastRenderedPageBreak/>
        <w:t>2. UE should be able to distinguish between the beams from its serving cell and beams from non-serving cells for RRM measurements in active mobility. UE should be able to determine if a beam is from its serving cell.</w:t>
      </w:r>
    </w:p>
    <w:p w14:paraId="6C168857"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w:t>
      </w:r>
      <w:r>
        <w:tab/>
        <w:t>FFS whether serving/non serving cell may be termed 'serving/non serving set of beam)</w:t>
      </w:r>
    </w:p>
    <w:p w14:paraId="37795483"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w:t>
      </w:r>
      <w:r>
        <w:tab/>
        <w:t>FFS: whether the UE is informed via dedicated signalling or implicitly detected by the UE based on some broadcast signals.</w:t>
      </w:r>
    </w:p>
    <w:p w14:paraId="44ABF670"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w:t>
      </w:r>
      <w:r>
        <w:tab/>
        <w:t>FFS how the cell in connected relates to the cell in idle</w:t>
      </w:r>
    </w:p>
    <w:p w14:paraId="141A0028"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p>
    <w:p w14:paraId="4484AD5D"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14:paraId="30FB906B"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p>
    <w:p w14:paraId="3DE02539"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 xml:space="preserve">4. </w:t>
      </w:r>
      <w:r>
        <w:tab/>
        <w:t xml:space="preserve">In connected mode, intra-cell mobility can be handled by mobility without RRC involvement. </w:t>
      </w:r>
    </w:p>
    <w:p w14:paraId="5B00D911"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14:paraId="4A944774"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p>
    <w:p w14:paraId="358604A8"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14:paraId="716D80DD" w14:textId="77777777" w:rsidR="00D21F77" w:rsidRDefault="00D21F77" w:rsidP="00D21F77">
      <w:pPr>
        <w:pStyle w:val="Doc-text2"/>
        <w:ind w:left="0" w:firstLine="0"/>
      </w:pPr>
    </w:p>
    <w:p w14:paraId="10F58457"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Agreement</w:t>
      </w:r>
    </w:p>
    <w:p w14:paraId="35E2C05E"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1</w:t>
      </w:r>
      <w:r>
        <w:tab/>
        <w:t>For connected mode, cell level signal quality for RRM measurement can be derived from multiple beams, if multiple beams can be detected (this does not preclude RRM measurement made on a single beam)</w:t>
      </w:r>
    </w:p>
    <w:p w14:paraId="56FAA9EB"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FFS how to combine beam measurements to a cell level single quality</w:t>
      </w:r>
    </w:p>
    <w:p w14:paraId="6955790E" w14:textId="77777777" w:rsidR="00D21F77" w:rsidRDefault="00D21F77" w:rsidP="00D21F77">
      <w:pPr>
        <w:pStyle w:val="Doc-text2"/>
      </w:pPr>
    </w:p>
    <w:p w14:paraId="0F120261"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Agreements for IDLE</w:t>
      </w:r>
    </w:p>
    <w:p w14:paraId="40F1F31E"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1D08A25D" w14:textId="77777777" w:rsidR="00D21F77" w:rsidRDefault="00D21F77" w:rsidP="00D21F77">
      <w:pPr>
        <w:pStyle w:val="Doc-text2"/>
        <w:pBdr>
          <w:top w:val="single" w:sz="4" w:space="1" w:color="auto"/>
          <w:left w:val="single" w:sz="4" w:space="4" w:color="auto"/>
          <w:bottom w:val="single" w:sz="4" w:space="1" w:color="auto"/>
          <w:right w:val="single" w:sz="4" w:space="4" w:color="auto"/>
        </w:pBdr>
      </w:pPr>
      <w:r>
        <w:t>2</w:t>
      </w:r>
      <w:r>
        <w:tab/>
        <w:t>Study how to derive a cell quality based on measurements.</w:t>
      </w:r>
    </w:p>
    <w:p w14:paraId="6F4982CE" w14:textId="77777777" w:rsidR="00D21F77" w:rsidRDefault="00D21F77" w:rsidP="00D21F77">
      <w:pPr>
        <w:rPr>
          <w:rFonts w:eastAsia="MS Mincho"/>
          <w:b/>
          <w:u w:val="single"/>
          <w:lang w:val="x-none" w:eastAsia="ja-JP"/>
        </w:rPr>
      </w:pPr>
    </w:p>
    <w:p w14:paraId="66CB30BF" w14:textId="4CB4DFAF" w:rsidR="00665144" w:rsidRDefault="00665144" w:rsidP="00665144">
      <w:pPr>
        <w:pStyle w:val="maintext"/>
        <w:ind w:firstLine="400"/>
      </w:pPr>
      <w:r>
        <w:t>It is observed that the cell-specific measurement quantity in connected mode is already agreed in RAN2.</w:t>
      </w:r>
    </w:p>
    <w:p w14:paraId="100405EC" w14:textId="651AB594" w:rsidR="00665144" w:rsidRPr="00665144" w:rsidRDefault="00665144" w:rsidP="00665144">
      <w:pPr>
        <w:pStyle w:val="maintext"/>
        <w:ind w:firstLineChars="0" w:firstLine="0"/>
        <w:rPr>
          <w:b/>
          <w:u w:val="single"/>
        </w:rPr>
      </w:pPr>
      <w:r w:rsidRPr="00665144">
        <w:rPr>
          <w:b/>
          <w:u w:val="single"/>
        </w:rPr>
        <w:t>Observation</w:t>
      </w:r>
    </w:p>
    <w:p w14:paraId="703DDAE9" w14:textId="77777777" w:rsidR="00665144" w:rsidRDefault="00665144" w:rsidP="00665144">
      <w:pPr>
        <w:pStyle w:val="maintext"/>
        <w:numPr>
          <w:ilvl w:val="0"/>
          <w:numId w:val="22"/>
        </w:numPr>
        <w:ind w:firstLineChars="0"/>
        <w:rPr>
          <w:b/>
        </w:rPr>
      </w:pPr>
      <w:r w:rsidRPr="00682D8F">
        <w:rPr>
          <w:b/>
        </w:rPr>
        <w:t>Connected mode measurement quantity (</w:t>
      </w:r>
      <w:r>
        <w:rPr>
          <w:b/>
        </w:rPr>
        <w:t xml:space="preserve">e.g., </w:t>
      </w:r>
      <w:r w:rsidRPr="00682D8F">
        <w:rPr>
          <w:b/>
        </w:rPr>
        <w:t>cell-specific RSRP) is derived according to cell based measurement.</w:t>
      </w:r>
    </w:p>
    <w:p w14:paraId="4D761486" w14:textId="77777777" w:rsidR="00D71AA1" w:rsidRPr="009E04CE" w:rsidRDefault="009E04CE" w:rsidP="00D71AA1">
      <w:pPr>
        <w:pStyle w:val="Heading2"/>
        <w:numPr>
          <w:ilvl w:val="0"/>
          <w:numId w:val="0"/>
        </w:numPr>
        <w:ind w:left="576" w:hanging="576"/>
      </w:pPr>
      <w:r>
        <w:t>3.1</w:t>
      </w:r>
      <w:r>
        <w:tab/>
      </w:r>
      <w:r w:rsidR="00D71AA1">
        <w:t>Mobility Signals for Cell-specific RSRP measurements</w:t>
      </w:r>
    </w:p>
    <w:p w14:paraId="45FE37EA" w14:textId="252A8BF9" w:rsidR="00D71AA1" w:rsidRDefault="006D7985" w:rsidP="00D71AA1">
      <w:pPr>
        <w:pStyle w:val="maintext"/>
        <w:ind w:firstLine="400"/>
      </w:pPr>
      <w:r>
        <w:t>The following t</w:t>
      </w:r>
      <w:r w:rsidR="00D71AA1">
        <w:t xml:space="preserve">wo </w:t>
      </w:r>
      <w:r>
        <w:t xml:space="preserve">signals </w:t>
      </w:r>
      <w:r w:rsidR="00F40FFA">
        <w:t xml:space="preserve">are </w:t>
      </w:r>
      <w:r w:rsidR="00D71AA1">
        <w:t xml:space="preserve">considered for the signals to derive the cell-specific RSRP for the connected mode. </w:t>
      </w:r>
    </w:p>
    <w:p w14:paraId="44B3E0AD" w14:textId="070E7F56" w:rsidR="00D71AA1" w:rsidRDefault="00F40FFA" w:rsidP="00D71AA1">
      <w:pPr>
        <w:pStyle w:val="maintext"/>
        <w:numPr>
          <w:ilvl w:val="0"/>
          <w:numId w:val="22"/>
        </w:numPr>
        <w:ind w:firstLineChars="0"/>
      </w:pPr>
      <w:r>
        <w:t>NR-S</w:t>
      </w:r>
      <w:r w:rsidR="00D71AA1">
        <w:t>SS</w:t>
      </w:r>
    </w:p>
    <w:p w14:paraId="43BF306D" w14:textId="5237B3B9" w:rsidR="00D71AA1" w:rsidRDefault="00D71AA1" w:rsidP="00D71AA1">
      <w:pPr>
        <w:pStyle w:val="maintext"/>
        <w:numPr>
          <w:ilvl w:val="0"/>
          <w:numId w:val="22"/>
        </w:numPr>
        <w:ind w:firstLineChars="0"/>
      </w:pPr>
      <w:r>
        <w:t>Beam reference signals (BRS)</w:t>
      </w:r>
    </w:p>
    <w:p w14:paraId="18B1AECD" w14:textId="7CD0D901" w:rsidR="00D71AA1" w:rsidRDefault="00F40FFA" w:rsidP="00D71AA1">
      <w:pPr>
        <w:pStyle w:val="maintext"/>
        <w:ind w:firstLine="400"/>
      </w:pPr>
      <w:r>
        <w:t xml:space="preserve">NR-SSS </w:t>
      </w:r>
      <w:r w:rsidR="00D71AA1">
        <w:t xml:space="preserve">may be transmitted on a single antenna port on a narrower BW; while BRS may be transmitted on multiple antenna ports on a wider BW. </w:t>
      </w:r>
      <w:r w:rsidR="004E696E">
        <w:t>The details of the proposed BRS can be found in a companion contribution [2</w:t>
      </w:r>
      <w:r w:rsidR="00B14D09">
        <w:t>].</w:t>
      </w:r>
      <w:r w:rsidR="004E696E">
        <w:t xml:space="preserve"> </w:t>
      </w:r>
      <w:r w:rsidR="00D71AA1">
        <w:t xml:space="preserve">The number of beams that need to be supported for basic data coverage may be different depending on the carrier frequency and beamforming method. For 30GHz operation for which massive MIMO with hybrid BF is employed, the resulting beams tend to be narrow and relatively large number of TRPs are necessary to cover a cell-coverage area. In this case, the number of cell-specific beams may need to be large, and sufficiently large number of beams may be provided with mapping multiple antenna ports on a same OFDM symbol. For 4GHz operation for which single-beam based access is feasible with full digital beamforming, the resulting access beams may be wide and relatively small number of TRPs are necessary to cover a cell-coverage area. In this case the number of cell specific beams may not need to be large, and </w:t>
      </w:r>
      <w:r w:rsidR="00CD780D">
        <w:t>NR-SSS</w:t>
      </w:r>
      <w:r w:rsidR="00D71AA1">
        <w:t xml:space="preserve"> may be able to provide sufficient number of beams for this operation. Another aspects to consider for making a choice is the measurement interval and the measurement BW. In LTE specifications, it is optional for UE to measure wide band RSRP. If a similar principle applies in NR, it may be ok to use narrow-BW signal like nrSS for measurement purpose. On the other hand, more recent developments in LTE also allows single-shot RSRP measurements in small-cell on-off and LAA applications, for which wide-BW signal like BRS may be beneficial. </w:t>
      </w:r>
    </w:p>
    <w:p w14:paraId="738BA2D8" w14:textId="77777777" w:rsidR="00D71AA1" w:rsidRDefault="00D71AA1" w:rsidP="00D71AA1">
      <w:pPr>
        <w:pStyle w:val="maintext"/>
        <w:ind w:firstLine="400"/>
      </w:pPr>
      <w:r>
        <w:t xml:space="preserve">A similar discussion can be found in our companion contribution on IDLE mobility [1] on the candidates of the signals for mobility measurement. </w:t>
      </w:r>
      <w:r w:rsidRPr="001367E7">
        <w:t xml:space="preserve">It seems to make sense to assume that </w:t>
      </w:r>
      <w:r>
        <w:t xml:space="preserve">common </w:t>
      </w:r>
      <w:r w:rsidRPr="001367E7">
        <w:t>signal</w:t>
      </w:r>
      <w:r>
        <w:t>s</w:t>
      </w:r>
      <w:r w:rsidRPr="001367E7">
        <w:t xml:space="preserve"> </w:t>
      </w:r>
      <w:r>
        <w:t xml:space="preserve">and common cell-specific RSRP definitions are </w:t>
      </w:r>
      <w:r w:rsidRPr="001367E7">
        <w:t xml:space="preserve">used for IDLE </w:t>
      </w:r>
      <w:r>
        <w:t>and Connected-active</w:t>
      </w:r>
      <w:r w:rsidRPr="001367E7">
        <w:t xml:space="preserve">. This </w:t>
      </w:r>
      <w:r>
        <w:t xml:space="preserve">is </w:t>
      </w:r>
      <w:r w:rsidRPr="001367E7">
        <w:t xml:space="preserve">e.g. to ensure that the UE does not experience cell </w:t>
      </w:r>
      <w:r w:rsidRPr="001367E7">
        <w:lastRenderedPageBreak/>
        <w:t>ping-pong when being moved from one state to another state. Using the same signal on the same beams will also avoid some RS transmission duplication.</w:t>
      </w:r>
      <w:r>
        <w:t xml:space="preserve"> </w:t>
      </w:r>
    </w:p>
    <w:p w14:paraId="4EF33766" w14:textId="77777777" w:rsidR="00D71AA1" w:rsidRDefault="00D71AA1" w:rsidP="00D71AA1">
      <w:pPr>
        <w:pStyle w:val="maintext"/>
        <w:ind w:firstLine="400"/>
      </w:pPr>
      <w:r w:rsidRPr="001367E7">
        <w:t xml:space="preserve">It </w:t>
      </w:r>
      <w:r>
        <w:t xml:space="preserve">is suggested that </w:t>
      </w:r>
      <w:r w:rsidRPr="001367E7">
        <w:t xml:space="preserve">this signal </w:t>
      </w:r>
      <w:r>
        <w:t>should carry</w:t>
      </w:r>
      <w:r w:rsidRPr="001367E7">
        <w:t xml:space="preserve"> some kind of locally unique </w:t>
      </w:r>
      <w:r>
        <w:t xml:space="preserve">(i.e., cell-specific) </w:t>
      </w:r>
      <w:r w:rsidRPr="001367E7">
        <w:t xml:space="preserve">beam id that the UE can report in the measurement report. When the source eNB provides this beam-id to the target-eNB, it will help the target eNB e.g. to prepare the correct TRP, and also tune the </w:t>
      </w:r>
      <w:r>
        <w:t xml:space="preserve">UE-specific beams used for the UE-specific beam managements according </w:t>
      </w:r>
      <w:r w:rsidRPr="001367E7">
        <w:t>to the location where the UE is expected to appear in the target eNB</w:t>
      </w:r>
      <w:r>
        <w:t>, which in general allow faster beam alignment in the target cell</w:t>
      </w:r>
      <w:r w:rsidRPr="001367E7">
        <w:t>.</w:t>
      </w:r>
      <w:r>
        <w:t xml:space="preserve"> The beam-id is a locally unique identifier of the beam within the cell. At least for higher carrier frequency beam management for which beam widths are narrow and each TRP covers only small area, large number of beam IDs, e.g., order of 100s seems to be necessary.</w:t>
      </w:r>
    </w:p>
    <w:p w14:paraId="6C48A865" w14:textId="0634EF74" w:rsidR="006D7985" w:rsidRDefault="006D7985" w:rsidP="00D71AA1">
      <w:pPr>
        <w:pStyle w:val="maintext"/>
        <w:ind w:firstLine="400"/>
      </w:pPr>
      <w:r>
        <w:t xml:space="preserve">Considering the discussions above, the following is proposed. </w:t>
      </w:r>
    </w:p>
    <w:p w14:paraId="63A11281" w14:textId="344F47D4" w:rsidR="00D71AA1" w:rsidRDefault="00D71AA1" w:rsidP="00D71AA1">
      <w:pPr>
        <w:jc w:val="both"/>
        <w:rPr>
          <w:b/>
          <w:lang w:eastAsia="ko-KR"/>
        </w:rPr>
      </w:pPr>
      <w:r w:rsidRPr="0079639F">
        <w:rPr>
          <w:rFonts w:hint="eastAsia"/>
          <w:b/>
          <w:lang w:eastAsia="ko-KR"/>
        </w:rPr>
        <w:t>P</w:t>
      </w:r>
      <w:r w:rsidRPr="0079639F">
        <w:rPr>
          <w:b/>
          <w:lang w:eastAsia="ko-KR"/>
        </w:rPr>
        <w:t xml:space="preserve">roposal </w:t>
      </w:r>
      <w:r w:rsidR="00F23E02">
        <w:rPr>
          <w:b/>
          <w:lang w:eastAsia="ko-KR"/>
        </w:rPr>
        <w:t>1</w:t>
      </w:r>
      <w:r w:rsidRPr="0079639F">
        <w:rPr>
          <w:b/>
          <w:lang w:eastAsia="ko-KR"/>
        </w:rPr>
        <w:t xml:space="preserve">: </w:t>
      </w:r>
    </w:p>
    <w:p w14:paraId="354FBF86" w14:textId="2394E427" w:rsidR="00D71AA1" w:rsidRDefault="00D71AA1" w:rsidP="00D71AA1">
      <w:pPr>
        <w:pStyle w:val="ListParagraph"/>
        <w:numPr>
          <w:ilvl w:val="0"/>
          <w:numId w:val="22"/>
        </w:numPr>
        <w:ind w:leftChars="0"/>
        <w:jc w:val="both"/>
        <w:rPr>
          <w:b/>
          <w:lang w:eastAsia="ko-KR"/>
        </w:rPr>
      </w:pPr>
      <w:r>
        <w:rPr>
          <w:b/>
          <w:lang w:eastAsia="ko-KR"/>
        </w:rPr>
        <w:t xml:space="preserve">Support the following mobility </w:t>
      </w:r>
      <w:r w:rsidR="00152A3A">
        <w:rPr>
          <w:b/>
          <w:lang w:eastAsia="ko-KR"/>
        </w:rPr>
        <w:t>RS</w:t>
      </w:r>
      <w:r>
        <w:rPr>
          <w:b/>
          <w:lang w:eastAsia="ko-KR"/>
        </w:rPr>
        <w:t>:</w:t>
      </w:r>
    </w:p>
    <w:p w14:paraId="4F73374B" w14:textId="207BAA4B" w:rsidR="00D71AA1" w:rsidRDefault="00D71AA1" w:rsidP="00D71AA1">
      <w:pPr>
        <w:pStyle w:val="ListParagraph"/>
        <w:numPr>
          <w:ilvl w:val="1"/>
          <w:numId w:val="22"/>
        </w:numPr>
        <w:ind w:leftChars="0"/>
        <w:jc w:val="both"/>
        <w:rPr>
          <w:b/>
          <w:lang w:eastAsia="ko-KR"/>
        </w:rPr>
      </w:pPr>
      <w:r>
        <w:rPr>
          <w:b/>
          <w:lang w:eastAsia="ko-KR"/>
        </w:rPr>
        <w:t xml:space="preserve">For sub6GHz: </w:t>
      </w:r>
      <w:r w:rsidR="005F2D87">
        <w:rPr>
          <w:b/>
          <w:lang w:eastAsia="ko-KR"/>
        </w:rPr>
        <w:t>NR-S</w:t>
      </w:r>
      <w:r>
        <w:rPr>
          <w:b/>
          <w:lang w:eastAsia="ko-KR"/>
        </w:rPr>
        <w:t xml:space="preserve">SS </w:t>
      </w:r>
    </w:p>
    <w:p w14:paraId="121D1A41" w14:textId="77777777" w:rsidR="00D71AA1" w:rsidRPr="0079639F" w:rsidRDefault="00D71AA1" w:rsidP="00D71AA1">
      <w:pPr>
        <w:pStyle w:val="ListParagraph"/>
        <w:numPr>
          <w:ilvl w:val="1"/>
          <w:numId w:val="22"/>
        </w:numPr>
        <w:ind w:leftChars="0"/>
        <w:jc w:val="both"/>
        <w:rPr>
          <w:b/>
          <w:lang w:eastAsia="ko-KR"/>
        </w:rPr>
      </w:pPr>
      <w:r>
        <w:rPr>
          <w:b/>
          <w:lang w:eastAsia="ko-KR"/>
        </w:rPr>
        <w:t>For over6GHz: Beam reference signals (BRS)</w:t>
      </w:r>
    </w:p>
    <w:p w14:paraId="0184F992" w14:textId="31F6075E" w:rsidR="00D71AA1" w:rsidRDefault="00D71AA1" w:rsidP="00D71AA1">
      <w:pPr>
        <w:pStyle w:val="ListParagraph"/>
        <w:numPr>
          <w:ilvl w:val="0"/>
          <w:numId w:val="22"/>
        </w:numPr>
        <w:ind w:leftChars="0"/>
        <w:jc w:val="both"/>
        <w:rPr>
          <w:b/>
          <w:lang w:eastAsia="ko-KR"/>
        </w:rPr>
      </w:pPr>
      <w:r>
        <w:rPr>
          <w:b/>
          <w:lang w:eastAsia="ko-KR"/>
        </w:rPr>
        <w:t xml:space="preserve">Common mobility </w:t>
      </w:r>
      <w:r w:rsidR="00281977">
        <w:rPr>
          <w:b/>
          <w:lang w:eastAsia="ko-KR"/>
        </w:rPr>
        <w:t xml:space="preserve">RS </w:t>
      </w:r>
      <w:r>
        <w:rPr>
          <w:b/>
          <w:lang w:eastAsia="ko-KR"/>
        </w:rPr>
        <w:t>and common cell-specific RSRP definitions are used for IDLE and CONNECTED-Active.</w:t>
      </w:r>
    </w:p>
    <w:p w14:paraId="6567143A" w14:textId="1B3A423C" w:rsidR="00D71AA1" w:rsidRDefault="00D71AA1" w:rsidP="00D71AA1">
      <w:pPr>
        <w:pStyle w:val="ListParagraph"/>
        <w:numPr>
          <w:ilvl w:val="0"/>
          <w:numId w:val="22"/>
        </w:numPr>
        <w:ind w:leftChars="0"/>
        <w:jc w:val="both"/>
        <w:rPr>
          <w:b/>
          <w:lang w:eastAsia="ko-KR"/>
        </w:rPr>
      </w:pPr>
      <w:r>
        <w:rPr>
          <w:b/>
          <w:lang w:eastAsia="ko-KR"/>
        </w:rPr>
        <w:t xml:space="preserve">Individual mobility </w:t>
      </w:r>
      <w:r w:rsidR="00152A3A">
        <w:rPr>
          <w:b/>
          <w:lang w:eastAsia="ko-KR"/>
        </w:rPr>
        <w:t>RS</w:t>
      </w:r>
      <w:r>
        <w:rPr>
          <w:b/>
          <w:lang w:eastAsia="ko-KR"/>
        </w:rPr>
        <w:t xml:space="preserve"> carry cell-specific beam IDs.</w:t>
      </w:r>
    </w:p>
    <w:p w14:paraId="3E7FEC22" w14:textId="77777777" w:rsidR="00D71AA1" w:rsidRDefault="00D71AA1" w:rsidP="00D71AA1">
      <w:pPr>
        <w:pStyle w:val="ListParagraph"/>
        <w:numPr>
          <w:ilvl w:val="1"/>
          <w:numId w:val="22"/>
        </w:numPr>
        <w:ind w:leftChars="0"/>
        <w:jc w:val="both"/>
        <w:rPr>
          <w:b/>
          <w:lang w:eastAsia="ko-KR"/>
        </w:rPr>
      </w:pPr>
      <w:r w:rsidRPr="00307030">
        <w:rPr>
          <w:b/>
          <w:lang w:eastAsia="ko-KR"/>
        </w:rPr>
        <w:t xml:space="preserve">At least for </w:t>
      </w:r>
      <w:r>
        <w:rPr>
          <w:b/>
          <w:lang w:eastAsia="ko-KR"/>
        </w:rPr>
        <w:t>30GHz operation</w:t>
      </w:r>
      <w:r w:rsidRPr="00307030">
        <w:rPr>
          <w:b/>
          <w:lang w:eastAsia="ko-KR"/>
        </w:rPr>
        <w:t>, number of beam IDs</w:t>
      </w:r>
      <w:r>
        <w:rPr>
          <w:b/>
          <w:lang w:eastAsia="ko-KR"/>
        </w:rPr>
        <w:t xml:space="preserve"> shall be at least </w:t>
      </w:r>
      <w:r w:rsidRPr="00307030">
        <w:rPr>
          <w:b/>
          <w:lang w:eastAsia="ko-KR"/>
        </w:rPr>
        <w:t>order of 100s.</w:t>
      </w:r>
      <w:r>
        <w:rPr>
          <w:b/>
          <w:lang w:eastAsia="ko-KR"/>
        </w:rPr>
        <w:t xml:space="preserve"> Exact number FFS.</w:t>
      </w:r>
    </w:p>
    <w:p w14:paraId="39A18F4D" w14:textId="23E70161" w:rsidR="009E04CE" w:rsidRPr="009E04CE" w:rsidRDefault="00D71AA1" w:rsidP="009E04CE">
      <w:pPr>
        <w:pStyle w:val="Heading2"/>
        <w:numPr>
          <w:ilvl w:val="0"/>
          <w:numId w:val="0"/>
        </w:numPr>
        <w:ind w:left="576" w:hanging="576"/>
      </w:pPr>
      <w:r>
        <w:t xml:space="preserve">3.2 </w:t>
      </w:r>
      <w:r>
        <w:tab/>
      </w:r>
      <w:r w:rsidR="009E04CE">
        <w:t>Cell-specific RSRP</w:t>
      </w:r>
    </w:p>
    <w:p w14:paraId="550BD1CB"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17C38F4"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AB5BF31" w14:textId="3E47F495" w:rsidR="00502C00" w:rsidRDefault="005403C9" w:rsidP="00761FE8">
      <w:pPr>
        <w:pStyle w:val="maintext"/>
        <w:ind w:firstLine="400"/>
      </w:pPr>
      <w:r>
        <w:t>When TRPs/beams of a neighbouring cell can provide a better quality than the beams of a serving cell, RRM measurement report can be triggered</w:t>
      </w:r>
      <w:r w:rsidR="00502C00">
        <w:t xml:space="preserve">. </w:t>
      </w:r>
      <w:r>
        <w:t xml:space="preserve">For this purpose, cell-specific RSRP can be defined and can be used as means for the comparison. </w:t>
      </w:r>
      <w:r w:rsidR="00502C00">
        <w:t xml:space="preserve">There </w:t>
      </w:r>
      <w:r w:rsidR="00F6128F">
        <w:t xml:space="preserve">could </w:t>
      </w:r>
      <w:r w:rsidR="00502C00">
        <w:t xml:space="preserve">be two approaches for </w:t>
      </w:r>
      <w:r w:rsidR="003A38A3">
        <w:t>defining t</w:t>
      </w:r>
      <w:r w:rsidR="00D46F1D">
        <w:t xml:space="preserve">he cell-specific </w:t>
      </w:r>
      <w:r w:rsidR="003A38A3">
        <w:t>RSRP</w:t>
      </w:r>
      <w:r w:rsidR="00502C00">
        <w:t>:</w:t>
      </w:r>
      <w:r w:rsidR="00761FE8">
        <w:t xml:space="preserve"> (</w:t>
      </w:r>
      <w:r w:rsidR="00D21F77">
        <w:t xml:space="preserve">Alt </w:t>
      </w:r>
      <w:r w:rsidR="00761FE8">
        <w:t>1) s</w:t>
      </w:r>
      <w:r w:rsidR="00D46F1D">
        <w:t>ingle-beam based</w:t>
      </w:r>
      <w:r w:rsidR="00761FE8">
        <w:t xml:space="preserve"> and (</w:t>
      </w:r>
      <w:r w:rsidR="00D21F77">
        <w:t xml:space="preserve">Alt </w:t>
      </w:r>
      <w:r w:rsidR="00761FE8">
        <w:t>2) m</w:t>
      </w:r>
      <w:r w:rsidR="00D46F1D">
        <w:t>ulti-beam based</w:t>
      </w:r>
      <w:r w:rsidR="00761FE8">
        <w:t>.</w:t>
      </w:r>
    </w:p>
    <w:p w14:paraId="26B4F81A" w14:textId="577EA60D" w:rsidR="0082202D" w:rsidRDefault="0082202D" w:rsidP="00502C00">
      <w:pPr>
        <w:pStyle w:val="maintext"/>
        <w:ind w:firstLine="400"/>
      </w:pPr>
      <w:r>
        <w:t xml:space="preserve">When </w:t>
      </w:r>
      <w:r w:rsidR="00761FE8">
        <w:t xml:space="preserve">single-beam based RSRP </w:t>
      </w:r>
      <w:r>
        <w:t>is employed</w:t>
      </w:r>
      <w:r w:rsidR="00761FE8">
        <w:t>, e.g., when the cell-specific RSRP is equal to the best beam-specific RSRP of a cell</w:t>
      </w:r>
      <w:r>
        <w:t>, UE on the cell boundary may see frequent change of the cell having the best beam quality</w:t>
      </w:r>
      <w:r w:rsidR="00761FE8">
        <w:t xml:space="preserve">, which may result in inter-cell ping-pong. Hence, </w:t>
      </w:r>
      <w:r w:rsidR="00AD4006">
        <w:t xml:space="preserve">Alt 2 </w:t>
      </w:r>
      <w:r w:rsidR="00761FE8">
        <w:t xml:space="preserve">is preferred. One </w:t>
      </w:r>
      <w:r>
        <w:t>example</w:t>
      </w:r>
      <w:r w:rsidR="00761FE8">
        <w:t xml:space="preserve"> to define the cell-specific RSRP </w:t>
      </w:r>
      <w:r w:rsidR="003A3B18">
        <w:t xml:space="preserve">for the beam sweeping case </w:t>
      </w:r>
      <w:r w:rsidR="00761FE8">
        <w:t xml:space="preserve">is that </w:t>
      </w:r>
      <w:r>
        <w:t>UE make</w:t>
      </w:r>
      <w:r w:rsidR="00761FE8">
        <w:t>s</w:t>
      </w:r>
      <w:r>
        <w:t xml:space="preserve"> use of x </w:t>
      </w:r>
      <w:r w:rsidR="00AD4006">
        <w:t xml:space="preserve">beams </w:t>
      </w:r>
      <w:r>
        <w:t xml:space="preserve">for deriving RSRP per cell, e.g., taking average/filtering of x </w:t>
      </w:r>
      <w:r w:rsidR="00AD4006">
        <w:t xml:space="preserve">beam </w:t>
      </w:r>
      <w:r>
        <w:t xml:space="preserve">measurements associated with the same cell. </w:t>
      </w:r>
      <w:r w:rsidR="003A3B18">
        <w:t xml:space="preserve">In general, for the beam sweeping case, the RSRP can be derived as a function of quantities measured on multiple beams. On the other hand, NR multi-beam deployment could also include a scenario of SFN transmission from multiple TRPs as well as the beam sweeping scenario. In this SFN scenario, the cell-specific RSRP is measured from the idle-mobility measurement signal in the cell. </w:t>
      </w:r>
      <w:r w:rsidR="00761FE8">
        <w:t xml:space="preserve">At this moment, exact details on how to define the RSRP is FFS. </w:t>
      </w:r>
    </w:p>
    <w:p w14:paraId="01F4CDD0" w14:textId="2EBBA3B8" w:rsidR="00922AA7" w:rsidRDefault="00922AA7" w:rsidP="00502C00">
      <w:pPr>
        <w:pStyle w:val="maintext"/>
        <w:ind w:firstLine="400"/>
      </w:pPr>
      <w:r>
        <w:t>T</w:t>
      </w:r>
      <w:r w:rsidRPr="00922AA7">
        <w:t xml:space="preserve">he UE triggers a measurement report e.g. when </w:t>
      </w:r>
      <w:r>
        <w:t xml:space="preserve">a cell-specific RSRP value derived for a neighbour cell is </w:t>
      </w:r>
      <w:r w:rsidRPr="00922AA7">
        <w:t xml:space="preserve">delta </w:t>
      </w:r>
      <w:r>
        <w:t xml:space="preserve">greater </w:t>
      </w:r>
      <w:r w:rsidRPr="00922AA7">
        <w:t xml:space="preserve">than </w:t>
      </w:r>
      <w:r>
        <w:t xml:space="preserve">a cell-specific RSRP value derived for a serving cell </w:t>
      </w:r>
      <w:r w:rsidRPr="00922AA7">
        <w:t>during TTT</w:t>
      </w:r>
      <w:r>
        <w:t xml:space="preserve"> (time-to-trigger)</w:t>
      </w:r>
      <w:r w:rsidRPr="00922AA7">
        <w:t>.</w:t>
      </w:r>
    </w:p>
    <w:p w14:paraId="7EF9824B" w14:textId="288A15E2" w:rsidR="00682D8F" w:rsidRDefault="009E04CE" w:rsidP="009E04CE">
      <w:pPr>
        <w:jc w:val="both"/>
        <w:rPr>
          <w:b/>
          <w:lang w:eastAsia="ko-KR"/>
        </w:rPr>
      </w:pPr>
      <w:r w:rsidRPr="009E28A7">
        <w:rPr>
          <w:b/>
          <w:lang w:eastAsia="ko-KR"/>
        </w:rPr>
        <w:t>Proposal</w:t>
      </w:r>
      <w:r>
        <w:rPr>
          <w:b/>
          <w:lang w:eastAsia="ko-KR"/>
        </w:rPr>
        <w:t xml:space="preserve"> </w:t>
      </w:r>
      <w:r w:rsidR="00F23E02">
        <w:rPr>
          <w:b/>
          <w:lang w:eastAsia="ko-KR"/>
        </w:rPr>
        <w:t>2</w:t>
      </w:r>
      <w:r w:rsidRPr="009E28A7">
        <w:rPr>
          <w:b/>
          <w:lang w:eastAsia="ko-KR"/>
        </w:rPr>
        <w:t xml:space="preserve">: </w:t>
      </w:r>
    </w:p>
    <w:p w14:paraId="43590C94" w14:textId="714A023C" w:rsidR="00682D8F" w:rsidRPr="00682D8F" w:rsidRDefault="00682D8F" w:rsidP="00682D8F">
      <w:pPr>
        <w:pStyle w:val="maintext"/>
        <w:numPr>
          <w:ilvl w:val="0"/>
          <w:numId w:val="22"/>
        </w:numPr>
        <w:ind w:firstLineChars="0"/>
        <w:rPr>
          <w:b/>
        </w:rPr>
      </w:pPr>
      <w:r w:rsidRPr="00682D8F">
        <w:rPr>
          <w:b/>
        </w:rPr>
        <w:t>The UE triggers a measurement report e.g. when a cell-specific RSRP value derived for a neighbour cell is delta greater than a cell-specific RSRP value derived for a serving cell during TTT (time-to-trigger).</w:t>
      </w:r>
    </w:p>
    <w:p w14:paraId="7B79136C" w14:textId="677F6BC1" w:rsidR="009E04CE" w:rsidRPr="00682D8F" w:rsidRDefault="009E04CE" w:rsidP="00682D8F">
      <w:pPr>
        <w:pStyle w:val="maintext"/>
        <w:numPr>
          <w:ilvl w:val="0"/>
          <w:numId w:val="22"/>
        </w:numPr>
        <w:ind w:firstLineChars="0"/>
      </w:pPr>
      <w:r w:rsidRPr="00682D8F">
        <w:rPr>
          <w:b/>
        </w:rPr>
        <w:t xml:space="preserve">For multi-beam deployment, </w:t>
      </w:r>
      <w:r w:rsidR="003A3B18">
        <w:rPr>
          <w:b/>
        </w:rPr>
        <w:t>cell-specific RSRP</w:t>
      </w:r>
      <w:r w:rsidR="005B6590">
        <w:rPr>
          <w:b/>
        </w:rPr>
        <w:t xml:space="preserve"> is derived according to the following two cases:</w:t>
      </w:r>
    </w:p>
    <w:p w14:paraId="2AD59AEA" w14:textId="6D5BCD06" w:rsidR="005B6590" w:rsidRDefault="005B6590" w:rsidP="009A6E49">
      <w:pPr>
        <w:pStyle w:val="ListParagraph"/>
        <w:numPr>
          <w:ilvl w:val="1"/>
          <w:numId w:val="22"/>
        </w:numPr>
        <w:ind w:leftChars="0"/>
        <w:jc w:val="both"/>
        <w:rPr>
          <w:b/>
          <w:lang w:eastAsia="ko-KR"/>
        </w:rPr>
      </w:pPr>
      <w:r w:rsidRPr="005B6590">
        <w:rPr>
          <w:b/>
          <w:lang w:eastAsia="ko-KR"/>
        </w:rPr>
        <w:t>Case-1 (</w:t>
      </w:r>
      <w:r w:rsidR="00AF5437">
        <w:rPr>
          <w:b/>
          <w:lang w:eastAsia="ko-KR"/>
        </w:rPr>
        <w:t xml:space="preserve">sub-6GHz operation, e.g., </w:t>
      </w:r>
      <w:r w:rsidRPr="005B6590">
        <w:rPr>
          <w:b/>
          <w:lang w:eastAsia="ko-KR"/>
        </w:rPr>
        <w:t xml:space="preserve">multiple beams representing the same cell cannot be distinguished, e.g., SFN transmissions from multiple TRPs): the cell-specific RSRP is measured from the </w:t>
      </w:r>
      <w:r w:rsidR="0025661C">
        <w:rPr>
          <w:b/>
          <w:lang w:eastAsia="ko-KR"/>
        </w:rPr>
        <w:t xml:space="preserve">mobility RS </w:t>
      </w:r>
      <w:r w:rsidR="00F40FFA">
        <w:rPr>
          <w:b/>
          <w:lang w:eastAsia="ko-KR"/>
        </w:rPr>
        <w:t xml:space="preserve">(i.e., NR-SSS) </w:t>
      </w:r>
      <w:r w:rsidRPr="005B6590">
        <w:rPr>
          <w:b/>
          <w:lang w:eastAsia="ko-KR"/>
        </w:rPr>
        <w:t>in the cell</w:t>
      </w:r>
    </w:p>
    <w:p w14:paraId="6EEB05BA" w14:textId="7E515519" w:rsidR="009E04CE" w:rsidRPr="005B6590" w:rsidRDefault="005B6590" w:rsidP="009A6E49">
      <w:pPr>
        <w:pStyle w:val="ListParagraph"/>
        <w:numPr>
          <w:ilvl w:val="1"/>
          <w:numId w:val="22"/>
        </w:numPr>
        <w:ind w:leftChars="0"/>
        <w:jc w:val="both"/>
        <w:rPr>
          <w:b/>
          <w:lang w:eastAsia="ko-KR"/>
        </w:rPr>
      </w:pPr>
      <w:r w:rsidRPr="005B6590">
        <w:rPr>
          <w:b/>
          <w:lang w:eastAsia="ko-KR"/>
        </w:rPr>
        <w:t>Case-2 (</w:t>
      </w:r>
      <w:r w:rsidR="00AF5437">
        <w:rPr>
          <w:b/>
          <w:lang w:eastAsia="ko-KR"/>
        </w:rPr>
        <w:t xml:space="preserve">over-6GHz operation, e.g., </w:t>
      </w:r>
      <w:r w:rsidRPr="005B6590">
        <w:rPr>
          <w:b/>
          <w:lang w:eastAsia="ko-KR"/>
        </w:rPr>
        <w:t xml:space="preserve">multiple beams representing the same cell can be distinguished, e.g., beam sweeping): the cell-specific RSRP is defined as a function of multi-beam measurement quantities derived from the </w:t>
      </w:r>
      <w:r w:rsidR="0025661C">
        <w:rPr>
          <w:b/>
          <w:lang w:eastAsia="ko-KR"/>
        </w:rPr>
        <w:t xml:space="preserve">mobility RS </w:t>
      </w:r>
      <w:r w:rsidR="008C05F4">
        <w:rPr>
          <w:b/>
          <w:lang w:eastAsia="ko-KR"/>
        </w:rPr>
        <w:t xml:space="preserve">(i.e., BRS) </w:t>
      </w:r>
      <w:r w:rsidRPr="005B6590">
        <w:rPr>
          <w:b/>
          <w:lang w:eastAsia="ko-KR"/>
        </w:rPr>
        <w:t>in the cell</w:t>
      </w:r>
    </w:p>
    <w:p w14:paraId="583C93B3" w14:textId="229E09B4" w:rsidR="00CC440C" w:rsidRDefault="009E04CE" w:rsidP="0068071E">
      <w:pPr>
        <w:pStyle w:val="Heading2"/>
        <w:numPr>
          <w:ilvl w:val="0"/>
          <w:numId w:val="0"/>
        </w:numPr>
        <w:ind w:left="576" w:hanging="576"/>
      </w:pPr>
      <w:r>
        <w:lastRenderedPageBreak/>
        <w:t>3.</w:t>
      </w:r>
      <w:r w:rsidR="00D71AA1">
        <w:t>3</w:t>
      </w:r>
      <w:r>
        <w:tab/>
      </w:r>
      <w:r w:rsidR="00CC440C">
        <w:t xml:space="preserve">L3 Mobility – Handover </w:t>
      </w:r>
    </w:p>
    <w:p w14:paraId="1DF90DF5" w14:textId="77777777" w:rsidR="0068071E" w:rsidRDefault="00B4684A" w:rsidP="0068071E">
      <w:pPr>
        <w:pStyle w:val="maintext"/>
        <w:ind w:firstLine="400"/>
      </w:pPr>
      <w:r>
        <w:t>Beam management</w:t>
      </w:r>
      <w:r w:rsidRPr="00DB0E28">
        <w:t xml:space="preserve"> might be configured to also cover beams of a neighbour TRP in a neighbour cell/eNB, but we cannot assume that every network would support that (will require extensive inter-eNB coordination)</w:t>
      </w:r>
      <w:r w:rsidR="0068071E">
        <w:t>.</w:t>
      </w:r>
      <w:r w:rsidRPr="00DB0E28">
        <w:t xml:space="preserve"> </w:t>
      </w:r>
      <w:r w:rsidR="0068071E">
        <w:t>Hence</w:t>
      </w:r>
      <w:r w:rsidRPr="00DB0E28">
        <w:t xml:space="preserve"> inter-eNB mobility has to work as baseline only based on the </w:t>
      </w:r>
      <w:r w:rsidR="0068071E">
        <w:t xml:space="preserve">cell-specific </w:t>
      </w:r>
      <w:r w:rsidRPr="00DB0E28">
        <w:t>signal</w:t>
      </w:r>
      <w:r w:rsidR="0068071E">
        <w:t>s discussed in Sections 3.1 and 3.2</w:t>
      </w:r>
      <w:r w:rsidRPr="00DB0E28">
        <w:t>.</w:t>
      </w:r>
      <w:r w:rsidR="0068071E">
        <w:t xml:space="preserve"> </w:t>
      </w:r>
    </w:p>
    <w:p w14:paraId="60F2608C" w14:textId="4055E8D2" w:rsidR="00B4684A" w:rsidRDefault="00B4684A" w:rsidP="0068071E">
      <w:pPr>
        <w:pStyle w:val="maintext"/>
        <w:ind w:firstLine="400"/>
      </w:pPr>
      <w:r w:rsidRPr="00DB0E28">
        <w:t xml:space="preserve">In general the less information </w:t>
      </w:r>
      <w:r w:rsidR="0068071E">
        <w:t xml:space="preserve">UE </w:t>
      </w:r>
      <w:r w:rsidRPr="00DB0E28">
        <w:t>provide</w:t>
      </w:r>
      <w:r w:rsidR="0068071E">
        <w:t>s</w:t>
      </w:r>
      <w:r w:rsidRPr="00DB0E28">
        <w:t xml:space="preserve"> to the target eNB at handover, the more likely/longer there will be a rate-drop for this UE immediately after handover. </w:t>
      </w:r>
      <w:r w:rsidR="0068071E">
        <w:t xml:space="preserve">This is because </w:t>
      </w:r>
      <w:r w:rsidRPr="00DB0E28">
        <w:t xml:space="preserve">it will take time </w:t>
      </w:r>
      <w:r w:rsidR="0068071E">
        <w:t xml:space="preserve">for UE </w:t>
      </w:r>
      <w:r w:rsidRPr="00DB0E28">
        <w:t xml:space="preserve">to find the optimal beam </w:t>
      </w:r>
      <w:r w:rsidR="0068071E">
        <w:t xml:space="preserve">pairs </w:t>
      </w:r>
      <w:r w:rsidRPr="00DB0E28">
        <w:t xml:space="preserve">for this UE in the target eNB. So providing the </w:t>
      </w:r>
      <w:r w:rsidR="0068071E">
        <w:t>beam ID(s) will to some extent</w:t>
      </w:r>
      <w:r w:rsidRPr="00DB0E28">
        <w:t xml:space="preserve"> help the target eNB</w:t>
      </w:r>
      <w:r w:rsidR="0068071E">
        <w:t xml:space="preserve"> to faster </w:t>
      </w:r>
      <w:r>
        <w:t>beam selection</w:t>
      </w:r>
      <w:r w:rsidR="0068071E">
        <w:t xml:space="preserve">/association at least in the initial beam management process. </w:t>
      </w:r>
    </w:p>
    <w:p w14:paraId="3D3641F5" w14:textId="5AB7CD4D" w:rsidR="00CF63C4" w:rsidRDefault="00CF63C4" w:rsidP="00CF63C4">
      <w:pPr>
        <w:jc w:val="both"/>
        <w:rPr>
          <w:b/>
          <w:lang w:eastAsia="ko-KR"/>
        </w:rPr>
      </w:pPr>
      <w:r w:rsidRPr="0079639F">
        <w:rPr>
          <w:rFonts w:hint="eastAsia"/>
          <w:b/>
          <w:lang w:eastAsia="ko-KR"/>
        </w:rPr>
        <w:t>P</w:t>
      </w:r>
      <w:r w:rsidRPr="0079639F">
        <w:rPr>
          <w:b/>
          <w:lang w:eastAsia="ko-KR"/>
        </w:rPr>
        <w:t>roposal</w:t>
      </w:r>
      <w:r>
        <w:rPr>
          <w:b/>
          <w:lang w:eastAsia="ko-KR"/>
        </w:rPr>
        <w:t xml:space="preserve"> </w:t>
      </w:r>
      <w:r w:rsidR="00F23E02">
        <w:rPr>
          <w:b/>
          <w:lang w:eastAsia="ko-KR"/>
        </w:rPr>
        <w:t>3</w:t>
      </w:r>
      <w:r w:rsidRPr="0079639F">
        <w:rPr>
          <w:b/>
          <w:lang w:eastAsia="ko-KR"/>
        </w:rPr>
        <w:t xml:space="preserve">: </w:t>
      </w:r>
    </w:p>
    <w:p w14:paraId="4493D047" w14:textId="05A7773C" w:rsidR="00CF63C4" w:rsidRPr="00CF63C4" w:rsidRDefault="00CF63C4" w:rsidP="00CF63C4">
      <w:pPr>
        <w:pStyle w:val="ListParagraph"/>
        <w:numPr>
          <w:ilvl w:val="0"/>
          <w:numId w:val="22"/>
        </w:numPr>
        <w:ind w:leftChars="0"/>
        <w:jc w:val="both"/>
        <w:rPr>
          <w:b/>
          <w:lang w:eastAsia="ko-KR"/>
        </w:rPr>
      </w:pPr>
      <w:r>
        <w:rPr>
          <w:b/>
          <w:lang w:eastAsia="ko-KR"/>
        </w:rPr>
        <w:t>Study UE reporting on beam IDs and corresponding RSRPs of neighbour cells for facilitating handover operation.</w:t>
      </w:r>
    </w:p>
    <w:p w14:paraId="0864D649" w14:textId="2661F99D" w:rsidR="00CF63C4" w:rsidRDefault="00CF63C4" w:rsidP="00CF63C4">
      <w:pPr>
        <w:pStyle w:val="Heading1"/>
        <w:tabs>
          <w:tab w:val="num" w:pos="0"/>
        </w:tabs>
        <w:ind w:left="799" w:hanging="799"/>
      </w:pPr>
      <w:r>
        <w:t>Conclusion</w:t>
      </w:r>
    </w:p>
    <w:p w14:paraId="1A86B764" w14:textId="1B8F2DC0" w:rsidR="00CF63C4" w:rsidRDefault="00CF63C4" w:rsidP="0068071E">
      <w:pPr>
        <w:pStyle w:val="maintext"/>
        <w:ind w:firstLine="400"/>
      </w:pPr>
      <w:r>
        <w:t>This contribution has discussed mobility on CONNECTED-Active, and made the following proposals.</w:t>
      </w:r>
    </w:p>
    <w:p w14:paraId="3B453165" w14:textId="77777777" w:rsidR="00F23E02" w:rsidRDefault="00F23E02" w:rsidP="00F23E02">
      <w:pPr>
        <w:jc w:val="both"/>
        <w:rPr>
          <w:b/>
          <w:lang w:eastAsia="ko-KR"/>
        </w:rPr>
      </w:pPr>
      <w:r w:rsidRPr="0079639F">
        <w:rPr>
          <w:rFonts w:hint="eastAsia"/>
          <w:b/>
          <w:lang w:eastAsia="ko-KR"/>
        </w:rPr>
        <w:t>P</w:t>
      </w:r>
      <w:r w:rsidRPr="0079639F">
        <w:rPr>
          <w:b/>
          <w:lang w:eastAsia="ko-KR"/>
        </w:rPr>
        <w:t xml:space="preserve">roposal </w:t>
      </w:r>
      <w:r>
        <w:rPr>
          <w:b/>
          <w:lang w:eastAsia="ko-KR"/>
        </w:rPr>
        <w:t>1</w:t>
      </w:r>
      <w:r w:rsidRPr="0079639F">
        <w:rPr>
          <w:b/>
          <w:lang w:eastAsia="ko-KR"/>
        </w:rPr>
        <w:t xml:space="preserve">: </w:t>
      </w:r>
    </w:p>
    <w:p w14:paraId="6884D345" w14:textId="1EDCC1E1" w:rsidR="00F23E02" w:rsidRDefault="00F23E02" w:rsidP="00F23E02">
      <w:pPr>
        <w:pStyle w:val="ListParagraph"/>
        <w:numPr>
          <w:ilvl w:val="0"/>
          <w:numId w:val="22"/>
        </w:numPr>
        <w:ind w:leftChars="0"/>
        <w:jc w:val="both"/>
        <w:rPr>
          <w:b/>
          <w:lang w:eastAsia="ko-KR"/>
        </w:rPr>
      </w:pPr>
      <w:r>
        <w:rPr>
          <w:b/>
          <w:lang w:eastAsia="ko-KR"/>
        </w:rPr>
        <w:t xml:space="preserve">Support the following mobility </w:t>
      </w:r>
      <w:r w:rsidR="00152A3A">
        <w:rPr>
          <w:b/>
          <w:lang w:eastAsia="ko-KR"/>
        </w:rPr>
        <w:t>RS</w:t>
      </w:r>
      <w:r>
        <w:rPr>
          <w:b/>
          <w:lang w:eastAsia="ko-KR"/>
        </w:rPr>
        <w:t>:</w:t>
      </w:r>
    </w:p>
    <w:p w14:paraId="4AA9E744" w14:textId="77777777" w:rsidR="00F23E02" w:rsidRDefault="00F23E02" w:rsidP="00F23E02">
      <w:pPr>
        <w:pStyle w:val="ListParagraph"/>
        <w:numPr>
          <w:ilvl w:val="1"/>
          <w:numId w:val="22"/>
        </w:numPr>
        <w:ind w:leftChars="0"/>
        <w:jc w:val="both"/>
        <w:rPr>
          <w:b/>
          <w:lang w:eastAsia="ko-KR"/>
        </w:rPr>
      </w:pPr>
      <w:r>
        <w:rPr>
          <w:b/>
          <w:lang w:eastAsia="ko-KR"/>
        </w:rPr>
        <w:t xml:space="preserve">For sub6GHz: NR-SSS </w:t>
      </w:r>
    </w:p>
    <w:p w14:paraId="7319F670" w14:textId="77777777" w:rsidR="00F23E02" w:rsidRPr="0079639F" w:rsidRDefault="00F23E02" w:rsidP="00F23E02">
      <w:pPr>
        <w:pStyle w:val="ListParagraph"/>
        <w:numPr>
          <w:ilvl w:val="1"/>
          <w:numId w:val="22"/>
        </w:numPr>
        <w:ind w:leftChars="0"/>
        <w:jc w:val="both"/>
        <w:rPr>
          <w:b/>
          <w:lang w:eastAsia="ko-KR"/>
        </w:rPr>
      </w:pPr>
      <w:r>
        <w:rPr>
          <w:b/>
          <w:lang w:eastAsia="ko-KR"/>
        </w:rPr>
        <w:t>For over6GHz: Beam reference signals (BRS)</w:t>
      </w:r>
    </w:p>
    <w:p w14:paraId="4610259E" w14:textId="1536E58D" w:rsidR="00F23E02" w:rsidRDefault="00F23E02" w:rsidP="00F23E02">
      <w:pPr>
        <w:pStyle w:val="ListParagraph"/>
        <w:numPr>
          <w:ilvl w:val="0"/>
          <w:numId w:val="22"/>
        </w:numPr>
        <w:ind w:leftChars="0"/>
        <w:jc w:val="both"/>
        <w:rPr>
          <w:b/>
          <w:lang w:eastAsia="ko-KR"/>
        </w:rPr>
      </w:pPr>
      <w:r>
        <w:rPr>
          <w:b/>
          <w:lang w:eastAsia="ko-KR"/>
        </w:rPr>
        <w:t xml:space="preserve">Common mobility </w:t>
      </w:r>
      <w:r w:rsidR="00152A3A">
        <w:rPr>
          <w:b/>
          <w:lang w:eastAsia="ko-KR"/>
        </w:rPr>
        <w:t>RS</w:t>
      </w:r>
      <w:r>
        <w:rPr>
          <w:b/>
          <w:lang w:eastAsia="ko-KR"/>
        </w:rPr>
        <w:t xml:space="preserve"> and common cell-specific RSRP definitions are used for IDLE and CONNECTED-Active.</w:t>
      </w:r>
    </w:p>
    <w:p w14:paraId="747FECD8" w14:textId="05C9B911" w:rsidR="00F23E02" w:rsidRDefault="00F23E02" w:rsidP="00F23E02">
      <w:pPr>
        <w:pStyle w:val="ListParagraph"/>
        <w:numPr>
          <w:ilvl w:val="0"/>
          <w:numId w:val="22"/>
        </w:numPr>
        <w:ind w:leftChars="0"/>
        <w:jc w:val="both"/>
        <w:rPr>
          <w:b/>
          <w:lang w:eastAsia="ko-KR"/>
        </w:rPr>
      </w:pPr>
      <w:r>
        <w:rPr>
          <w:b/>
          <w:lang w:eastAsia="ko-KR"/>
        </w:rPr>
        <w:t xml:space="preserve">Individual mobility </w:t>
      </w:r>
      <w:r w:rsidR="00152A3A">
        <w:rPr>
          <w:b/>
          <w:lang w:eastAsia="ko-KR"/>
        </w:rPr>
        <w:t>RS</w:t>
      </w:r>
      <w:r>
        <w:rPr>
          <w:b/>
          <w:lang w:eastAsia="ko-KR"/>
        </w:rPr>
        <w:t xml:space="preserve"> carry cell-specific beam IDs.</w:t>
      </w:r>
    </w:p>
    <w:p w14:paraId="6AAE217D" w14:textId="77777777" w:rsidR="00F23E02" w:rsidRDefault="00F23E02" w:rsidP="00F23E02">
      <w:pPr>
        <w:pStyle w:val="ListParagraph"/>
        <w:numPr>
          <w:ilvl w:val="1"/>
          <w:numId w:val="22"/>
        </w:numPr>
        <w:ind w:leftChars="0"/>
        <w:jc w:val="both"/>
        <w:rPr>
          <w:b/>
          <w:lang w:eastAsia="ko-KR"/>
        </w:rPr>
      </w:pPr>
      <w:r w:rsidRPr="00307030">
        <w:rPr>
          <w:b/>
          <w:lang w:eastAsia="ko-KR"/>
        </w:rPr>
        <w:t xml:space="preserve">At least for </w:t>
      </w:r>
      <w:r>
        <w:rPr>
          <w:b/>
          <w:lang w:eastAsia="ko-KR"/>
        </w:rPr>
        <w:t>30GHz operation</w:t>
      </w:r>
      <w:r w:rsidRPr="00307030">
        <w:rPr>
          <w:b/>
          <w:lang w:eastAsia="ko-KR"/>
        </w:rPr>
        <w:t>, number of beam IDs</w:t>
      </w:r>
      <w:r>
        <w:rPr>
          <w:b/>
          <w:lang w:eastAsia="ko-KR"/>
        </w:rPr>
        <w:t xml:space="preserve"> shall be at least </w:t>
      </w:r>
      <w:r w:rsidRPr="00307030">
        <w:rPr>
          <w:b/>
          <w:lang w:eastAsia="ko-KR"/>
        </w:rPr>
        <w:t>order of 100s.</w:t>
      </w:r>
      <w:r>
        <w:rPr>
          <w:b/>
          <w:lang w:eastAsia="ko-KR"/>
        </w:rPr>
        <w:t xml:space="preserve"> Exact number FFS.</w:t>
      </w:r>
    </w:p>
    <w:p w14:paraId="221C4F01" w14:textId="77777777" w:rsidR="00F23E02" w:rsidRDefault="00F23E02" w:rsidP="00F23E02">
      <w:pPr>
        <w:jc w:val="both"/>
        <w:rPr>
          <w:b/>
          <w:lang w:eastAsia="ko-KR"/>
        </w:rPr>
      </w:pPr>
      <w:r w:rsidRPr="009E28A7">
        <w:rPr>
          <w:b/>
          <w:lang w:eastAsia="ko-KR"/>
        </w:rPr>
        <w:t>Proposal</w:t>
      </w:r>
      <w:r>
        <w:rPr>
          <w:b/>
          <w:lang w:eastAsia="ko-KR"/>
        </w:rPr>
        <w:t xml:space="preserve"> 2</w:t>
      </w:r>
      <w:r w:rsidRPr="009E28A7">
        <w:rPr>
          <w:b/>
          <w:lang w:eastAsia="ko-KR"/>
        </w:rPr>
        <w:t xml:space="preserve">: </w:t>
      </w:r>
    </w:p>
    <w:p w14:paraId="330F8ECA" w14:textId="77777777" w:rsidR="00F23E02" w:rsidRPr="00682D8F" w:rsidRDefault="00F23E02" w:rsidP="00F23E02">
      <w:pPr>
        <w:pStyle w:val="maintext"/>
        <w:numPr>
          <w:ilvl w:val="0"/>
          <w:numId w:val="22"/>
        </w:numPr>
        <w:ind w:firstLineChars="0"/>
        <w:rPr>
          <w:b/>
        </w:rPr>
      </w:pPr>
      <w:r w:rsidRPr="00682D8F">
        <w:rPr>
          <w:b/>
        </w:rPr>
        <w:t>The UE triggers a measurement report e.g. when a cell-specific RSRP value derived for a neighbour cell is delta greater than a cell-specific RSRP value derived for a serving cell during TTT (time-to-trigger).</w:t>
      </w:r>
    </w:p>
    <w:p w14:paraId="76E5A269" w14:textId="77777777" w:rsidR="00F23E02" w:rsidRPr="00682D8F" w:rsidRDefault="00F23E02" w:rsidP="00F23E02">
      <w:pPr>
        <w:pStyle w:val="maintext"/>
        <w:numPr>
          <w:ilvl w:val="0"/>
          <w:numId w:val="22"/>
        </w:numPr>
        <w:ind w:firstLineChars="0"/>
      </w:pPr>
      <w:r w:rsidRPr="00682D8F">
        <w:rPr>
          <w:b/>
        </w:rPr>
        <w:t xml:space="preserve">For multi-beam deployment, </w:t>
      </w:r>
      <w:r>
        <w:rPr>
          <w:b/>
        </w:rPr>
        <w:t>cell-specific RSRP is derived according to the following two cases:</w:t>
      </w:r>
    </w:p>
    <w:p w14:paraId="62949DD6" w14:textId="21FA9239" w:rsidR="00F23E02" w:rsidRDefault="00F23E02" w:rsidP="00F23E02">
      <w:pPr>
        <w:pStyle w:val="ListParagraph"/>
        <w:numPr>
          <w:ilvl w:val="1"/>
          <w:numId w:val="22"/>
        </w:numPr>
        <w:ind w:leftChars="0"/>
        <w:jc w:val="both"/>
        <w:rPr>
          <w:b/>
          <w:lang w:eastAsia="ko-KR"/>
        </w:rPr>
      </w:pPr>
      <w:r w:rsidRPr="005B6590">
        <w:rPr>
          <w:b/>
          <w:lang w:eastAsia="ko-KR"/>
        </w:rPr>
        <w:t>Case-1 (</w:t>
      </w:r>
      <w:r>
        <w:rPr>
          <w:b/>
          <w:lang w:eastAsia="ko-KR"/>
        </w:rPr>
        <w:t xml:space="preserve">sub-6GHz operation, e.g., </w:t>
      </w:r>
      <w:r w:rsidRPr="005B6590">
        <w:rPr>
          <w:b/>
          <w:lang w:eastAsia="ko-KR"/>
        </w:rPr>
        <w:t>multiple beams representing the same cell cannot be distinguished</w:t>
      </w:r>
      <w:r w:rsidR="000270CB">
        <w:rPr>
          <w:b/>
          <w:lang w:eastAsia="ko-KR"/>
        </w:rPr>
        <w:t xml:space="preserve"> – </w:t>
      </w:r>
      <w:r w:rsidRPr="005B6590">
        <w:rPr>
          <w:b/>
          <w:lang w:eastAsia="ko-KR"/>
        </w:rPr>
        <w:t>SFN</w:t>
      </w:r>
      <w:r w:rsidR="000270CB">
        <w:rPr>
          <w:b/>
          <w:lang w:eastAsia="ko-KR"/>
        </w:rPr>
        <w:t xml:space="preserve"> </w:t>
      </w:r>
      <w:r w:rsidRPr="005B6590">
        <w:rPr>
          <w:b/>
          <w:lang w:eastAsia="ko-KR"/>
        </w:rPr>
        <w:t xml:space="preserve">transmissions from multiple TRPs): the cell-specific RSRP is measured from the </w:t>
      </w:r>
      <w:r>
        <w:rPr>
          <w:b/>
          <w:lang w:eastAsia="ko-KR"/>
        </w:rPr>
        <w:t xml:space="preserve">mobility RS (i.e., NR-SSS) </w:t>
      </w:r>
      <w:r w:rsidRPr="005B6590">
        <w:rPr>
          <w:b/>
          <w:lang w:eastAsia="ko-KR"/>
        </w:rPr>
        <w:t>in the cell</w:t>
      </w:r>
    </w:p>
    <w:p w14:paraId="7A781925" w14:textId="19257D5A" w:rsidR="00F23E02" w:rsidRPr="005B6590" w:rsidRDefault="00F23E02" w:rsidP="00F23E02">
      <w:pPr>
        <w:pStyle w:val="ListParagraph"/>
        <w:numPr>
          <w:ilvl w:val="1"/>
          <w:numId w:val="22"/>
        </w:numPr>
        <w:ind w:leftChars="0"/>
        <w:jc w:val="both"/>
        <w:rPr>
          <w:b/>
          <w:lang w:eastAsia="ko-KR"/>
        </w:rPr>
      </w:pPr>
      <w:r w:rsidRPr="005B6590">
        <w:rPr>
          <w:b/>
          <w:lang w:eastAsia="ko-KR"/>
        </w:rPr>
        <w:t>Case-2 (</w:t>
      </w:r>
      <w:r>
        <w:rPr>
          <w:b/>
          <w:lang w:eastAsia="ko-KR"/>
        </w:rPr>
        <w:t xml:space="preserve">over-6GHz operation, e.g., </w:t>
      </w:r>
      <w:r w:rsidRPr="005B6590">
        <w:rPr>
          <w:b/>
          <w:lang w:eastAsia="ko-KR"/>
        </w:rPr>
        <w:t>multiple beams representing the same cell can be distinguished</w:t>
      </w:r>
      <w:r w:rsidR="000270CB">
        <w:rPr>
          <w:b/>
          <w:lang w:eastAsia="ko-KR"/>
        </w:rPr>
        <w:t xml:space="preserve"> – </w:t>
      </w:r>
      <w:r w:rsidRPr="005B6590">
        <w:rPr>
          <w:b/>
          <w:lang w:eastAsia="ko-KR"/>
        </w:rPr>
        <w:t>beam</w:t>
      </w:r>
      <w:r w:rsidR="000270CB">
        <w:rPr>
          <w:b/>
          <w:lang w:eastAsia="ko-KR"/>
        </w:rPr>
        <w:t xml:space="preserve"> </w:t>
      </w:r>
      <w:r w:rsidRPr="005B6590">
        <w:rPr>
          <w:b/>
          <w:lang w:eastAsia="ko-KR"/>
        </w:rPr>
        <w:t xml:space="preserve">sweeping): the cell-specific RSRP is defined as a function of multi-beam measurement quantities derived from the </w:t>
      </w:r>
      <w:r>
        <w:rPr>
          <w:b/>
          <w:lang w:eastAsia="ko-KR"/>
        </w:rPr>
        <w:t xml:space="preserve">mobility RS (i.e., BRS) </w:t>
      </w:r>
      <w:r w:rsidRPr="005B6590">
        <w:rPr>
          <w:b/>
          <w:lang w:eastAsia="ko-KR"/>
        </w:rPr>
        <w:t>in the cell</w:t>
      </w:r>
    </w:p>
    <w:p w14:paraId="4DE70D47" w14:textId="77777777" w:rsidR="00F23E02" w:rsidRDefault="00F23E02" w:rsidP="00F23E02">
      <w:pPr>
        <w:jc w:val="both"/>
        <w:rPr>
          <w:b/>
          <w:lang w:eastAsia="ko-KR"/>
        </w:rPr>
      </w:pPr>
      <w:r w:rsidRPr="0079639F">
        <w:rPr>
          <w:rFonts w:hint="eastAsia"/>
          <w:b/>
          <w:lang w:eastAsia="ko-KR"/>
        </w:rPr>
        <w:t>P</w:t>
      </w:r>
      <w:r w:rsidRPr="0079639F">
        <w:rPr>
          <w:b/>
          <w:lang w:eastAsia="ko-KR"/>
        </w:rPr>
        <w:t>roposal</w:t>
      </w:r>
      <w:r>
        <w:rPr>
          <w:b/>
          <w:lang w:eastAsia="ko-KR"/>
        </w:rPr>
        <w:t xml:space="preserve"> 3</w:t>
      </w:r>
      <w:r w:rsidRPr="0079639F">
        <w:rPr>
          <w:b/>
          <w:lang w:eastAsia="ko-KR"/>
        </w:rPr>
        <w:t xml:space="preserve">: </w:t>
      </w:r>
    </w:p>
    <w:p w14:paraId="73F87155" w14:textId="7D78D663" w:rsidR="00CF63C4" w:rsidRPr="00F23E02" w:rsidRDefault="00F23E02" w:rsidP="00F23E02">
      <w:pPr>
        <w:pStyle w:val="ListParagraph"/>
        <w:numPr>
          <w:ilvl w:val="0"/>
          <w:numId w:val="22"/>
        </w:numPr>
        <w:ind w:leftChars="0"/>
        <w:jc w:val="both"/>
        <w:rPr>
          <w:b/>
          <w:lang w:eastAsia="ko-KR"/>
        </w:rPr>
      </w:pPr>
      <w:r>
        <w:rPr>
          <w:b/>
          <w:lang w:eastAsia="ko-KR"/>
        </w:rPr>
        <w:t>Study UE reporting on beam IDs and corresponding RSRPs of neighbour cells for facilitating handover operation.</w:t>
      </w:r>
    </w:p>
    <w:p w14:paraId="771809C3" w14:textId="77777777" w:rsidR="000F762B" w:rsidRPr="00D04E23" w:rsidRDefault="000F762B" w:rsidP="00EA06BF">
      <w:pPr>
        <w:pStyle w:val="Heading1"/>
        <w:numPr>
          <w:ilvl w:val="0"/>
          <w:numId w:val="0"/>
        </w:numPr>
      </w:pPr>
      <w:r w:rsidRPr="00D04E23">
        <w:rPr>
          <w:rFonts w:hint="eastAsia"/>
        </w:rPr>
        <w:t>Reference</w:t>
      </w:r>
      <w:r>
        <w:rPr>
          <w:rFonts w:hint="eastAsia"/>
        </w:rPr>
        <w:t>s</w:t>
      </w:r>
    </w:p>
    <w:p w14:paraId="52EFAB36" w14:textId="38D8BA41" w:rsidR="009A31EF" w:rsidRDefault="004E696E" w:rsidP="00EA06BF">
      <w:pPr>
        <w:pStyle w:val="2222"/>
        <w:numPr>
          <w:ilvl w:val="0"/>
          <w:numId w:val="5"/>
        </w:numPr>
        <w:spacing w:after="120" w:line="288" w:lineRule="auto"/>
        <w:ind w:firstLineChars="0"/>
        <w:rPr>
          <w:rFonts w:cs="Times New Roman"/>
          <w:lang w:eastAsia="ko-KR"/>
        </w:rPr>
      </w:pPr>
      <w:r>
        <w:rPr>
          <w:rFonts w:cs="Times New Roman"/>
          <w:lang w:eastAsia="ko-KR"/>
        </w:rPr>
        <w:t>R1-161xxxx</w:t>
      </w:r>
      <w:r w:rsidR="00EA06BF">
        <w:rPr>
          <w:rFonts w:cs="Times New Roman"/>
          <w:lang w:eastAsia="ko-KR"/>
        </w:rPr>
        <w:t xml:space="preserve">, </w:t>
      </w:r>
      <w:r w:rsidR="00EA06BF" w:rsidRPr="00EA06BF">
        <w:rPr>
          <w:rFonts w:cs="Times New Roman"/>
          <w:lang w:eastAsia="ko-KR"/>
        </w:rPr>
        <w:t>NR mobility in idle mode</w:t>
      </w:r>
      <w:r w:rsidR="00EA06BF">
        <w:rPr>
          <w:rFonts w:cs="Times New Roman"/>
          <w:lang w:eastAsia="ko-KR"/>
        </w:rPr>
        <w:t>, Samsung</w:t>
      </w:r>
    </w:p>
    <w:p w14:paraId="21279269" w14:textId="6262268D" w:rsidR="004E696E" w:rsidRPr="00073752" w:rsidRDefault="004E696E" w:rsidP="004E696E">
      <w:pPr>
        <w:pStyle w:val="2222"/>
        <w:numPr>
          <w:ilvl w:val="0"/>
          <w:numId w:val="5"/>
        </w:numPr>
        <w:spacing w:after="120" w:line="288" w:lineRule="auto"/>
        <w:ind w:firstLineChars="0"/>
        <w:rPr>
          <w:rFonts w:cs="Times New Roman"/>
          <w:lang w:eastAsia="ko-KR"/>
        </w:rPr>
      </w:pPr>
      <w:r>
        <w:rPr>
          <w:rFonts w:cs="Times New Roman"/>
          <w:lang w:eastAsia="ko-KR"/>
        </w:rPr>
        <w:t xml:space="preserve">R1-161xxxx, </w:t>
      </w:r>
      <w:r w:rsidRPr="004E696E">
        <w:rPr>
          <w:rFonts w:cs="Times New Roman"/>
          <w:lang w:eastAsia="ko-KR"/>
        </w:rPr>
        <w:t>Mobility RS design for supporting multi-beam operations</w:t>
      </w:r>
      <w:r>
        <w:rPr>
          <w:rFonts w:cs="Times New Roman"/>
          <w:lang w:eastAsia="ko-KR"/>
        </w:rPr>
        <w:t>, Samsung</w:t>
      </w:r>
    </w:p>
    <w:sectPr w:rsidR="004E696E" w:rsidRPr="0007375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13664" w14:textId="77777777" w:rsidR="00902283" w:rsidRDefault="00902283">
      <w:r>
        <w:separator/>
      </w:r>
    </w:p>
  </w:endnote>
  <w:endnote w:type="continuationSeparator" w:id="0">
    <w:p w14:paraId="576A9A1A" w14:textId="77777777" w:rsidR="00902283" w:rsidRDefault="0090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BB5E4" w14:textId="77777777" w:rsidR="00902283" w:rsidRDefault="00902283">
      <w:r>
        <w:separator/>
      </w:r>
    </w:p>
  </w:footnote>
  <w:footnote w:type="continuationSeparator" w:id="0">
    <w:p w14:paraId="133AD317" w14:textId="77777777" w:rsidR="00902283" w:rsidRDefault="00902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1"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8"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0"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14"/>
  </w:num>
  <w:num w:numId="4">
    <w:abstractNumId w:val="21"/>
  </w:num>
  <w:num w:numId="5">
    <w:abstractNumId w:val="1"/>
  </w:num>
  <w:num w:numId="6">
    <w:abstractNumId w:val="17"/>
  </w:num>
  <w:num w:numId="7">
    <w:abstractNumId w:val="11"/>
  </w:num>
  <w:num w:numId="8">
    <w:abstractNumId w:val="8"/>
  </w:num>
  <w:num w:numId="9">
    <w:abstractNumId w:val="2"/>
  </w:num>
  <w:num w:numId="10">
    <w:abstractNumId w:val="5"/>
  </w:num>
  <w:num w:numId="11">
    <w:abstractNumId w:val="3"/>
  </w:num>
  <w:num w:numId="12">
    <w:abstractNumId w:val="1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7"/>
  </w:num>
  <w:num w:numId="17">
    <w:abstractNumId w:val="22"/>
  </w:num>
  <w:num w:numId="18">
    <w:abstractNumId w:val="13"/>
  </w:num>
  <w:num w:numId="19">
    <w:abstractNumId w:val="16"/>
  </w:num>
  <w:num w:numId="20">
    <w:abstractNumId w:val="0"/>
  </w:num>
  <w:num w:numId="21">
    <w:abstractNumId w:val="15"/>
  </w:num>
  <w:num w:numId="22">
    <w:abstractNumId w:val="20"/>
  </w:num>
  <w:num w:numId="23">
    <w:abstractNumId w:val="10"/>
  </w:num>
  <w:num w:numId="24">
    <w:abstractNumId w:val="4"/>
  </w:num>
  <w:num w:numId="25">
    <w:abstractNumId w:val="18"/>
  </w:num>
  <w:num w:numId="26">
    <w:abstractNumId w:val="16"/>
  </w:num>
  <w:num w:numId="2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43"/>
    <w:rsid w:val="00000B47"/>
    <w:rsid w:val="00001C76"/>
    <w:rsid w:val="000020C0"/>
    <w:rsid w:val="00002A92"/>
    <w:rsid w:val="00002ACA"/>
    <w:rsid w:val="000033A8"/>
    <w:rsid w:val="00004076"/>
    <w:rsid w:val="00005774"/>
    <w:rsid w:val="00010921"/>
    <w:rsid w:val="00011005"/>
    <w:rsid w:val="00011A53"/>
    <w:rsid w:val="00011FB1"/>
    <w:rsid w:val="00012357"/>
    <w:rsid w:val="00012396"/>
    <w:rsid w:val="00012D3C"/>
    <w:rsid w:val="0001401B"/>
    <w:rsid w:val="000147F7"/>
    <w:rsid w:val="000167DF"/>
    <w:rsid w:val="0001695D"/>
    <w:rsid w:val="000172F4"/>
    <w:rsid w:val="000210FF"/>
    <w:rsid w:val="00021CA4"/>
    <w:rsid w:val="00022194"/>
    <w:rsid w:val="00022677"/>
    <w:rsid w:val="00022C4C"/>
    <w:rsid w:val="000270CB"/>
    <w:rsid w:val="00027F1C"/>
    <w:rsid w:val="00030EA8"/>
    <w:rsid w:val="00032854"/>
    <w:rsid w:val="000375ED"/>
    <w:rsid w:val="0004152C"/>
    <w:rsid w:val="00044587"/>
    <w:rsid w:val="00045082"/>
    <w:rsid w:val="00046AB8"/>
    <w:rsid w:val="00046EDE"/>
    <w:rsid w:val="0005019A"/>
    <w:rsid w:val="00050F55"/>
    <w:rsid w:val="000516A7"/>
    <w:rsid w:val="00051AFF"/>
    <w:rsid w:val="00052776"/>
    <w:rsid w:val="00052AF6"/>
    <w:rsid w:val="00053930"/>
    <w:rsid w:val="000543C0"/>
    <w:rsid w:val="00054B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40"/>
    <w:rsid w:val="000D25AC"/>
    <w:rsid w:val="000D4806"/>
    <w:rsid w:val="000D5200"/>
    <w:rsid w:val="000D758A"/>
    <w:rsid w:val="000D77B5"/>
    <w:rsid w:val="000E13E9"/>
    <w:rsid w:val="000E2201"/>
    <w:rsid w:val="000E364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EB4"/>
    <w:rsid w:val="001155B8"/>
    <w:rsid w:val="00117010"/>
    <w:rsid w:val="001179CE"/>
    <w:rsid w:val="00117B15"/>
    <w:rsid w:val="00120B93"/>
    <w:rsid w:val="00121508"/>
    <w:rsid w:val="0012156A"/>
    <w:rsid w:val="00121809"/>
    <w:rsid w:val="00121AC2"/>
    <w:rsid w:val="0012303A"/>
    <w:rsid w:val="00123B51"/>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6DE6"/>
    <w:rsid w:val="001471E4"/>
    <w:rsid w:val="00147305"/>
    <w:rsid w:val="001503B7"/>
    <w:rsid w:val="00152A3A"/>
    <w:rsid w:val="0015445A"/>
    <w:rsid w:val="00157248"/>
    <w:rsid w:val="00157C78"/>
    <w:rsid w:val="00161F04"/>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52BF"/>
    <w:rsid w:val="001E5959"/>
    <w:rsid w:val="001E6796"/>
    <w:rsid w:val="001F1669"/>
    <w:rsid w:val="001F2638"/>
    <w:rsid w:val="001F3815"/>
    <w:rsid w:val="001F3BD8"/>
    <w:rsid w:val="001F4519"/>
    <w:rsid w:val="001F4B21"/>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61C"/>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1977"/>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8A3"/>
    <w:rsid w:val="003A3B18"/>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DAA"/>
    <w:rsid w:val="003E00B7"/>
    <w:rsid w:val="003E079D"/>
    <w:rsid w:val="003E0FEE"/>
    <w:rsid w:val="003E1753"/>
    <w:rsid w:val="003E2779"/>
    <w:rsid w:val="003E430F"/>
    <w:rsid w:val="003E633B"/>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15EE6"/>
    <w:rsid w:val="00420853"/>
    <w:rsid w:val="00421E04"/>
    <w:rsid w:val="00422959"/>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3538"/>
    <w:rsid w:val="004471CE"/>
    <w:rsid w:val="00450C48"/>
    <w:rsid w:val="00452E54"/>
    <w:rsid w:val="004530DE"/>
    <w:rsid w:val="0045322C"/>
    <w:rsid w:val="004535E6"/>
    <w:rsid w:val="00454D22"/>
    <w:rsid w:val="00455E7A"/>
    <w:rsid w:val="00461C28"/>
    <w:rsid w:val="00461D06"/>
    <w:rsid w:val="004624A3"/>
    <w:rsid w:val="0046666D"/>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B78F8"/>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E696E"/>
    <w:rsid w:val="004F040F"/>
    <w:rsid w:val="004F04D1"/>
    <w:rsid w:val="004F120F"/>
    <w:rsid w:val="004F17BB"/>
    <w:rsid w:val="004F276D"/>
    <w:rsid w:val="00500716"/>
    <w:rsid w:val="00501E42"/>
    <w:rsid w:val="00502C00"/>
    <w:rsid w:val="00503979"/>
    <w:rsid w:val="00503993"/>
    <w:rsid w:val="00503F9D"/>
    <w:rsid w:val="00507091"/>
    <w:rsid w:val="005074C4"/>
    <w:rsid w:val="005079CC"/>
    <w:rsid w:val="005109A0"/>
    <w:rsid w:val="0051414A"/>
    <w:rsid w:val="00514BD4"/>
    <w:rsid w:val="00514BFF"/>
    <w:rsid w:val="00514ED9"/>
    <w:rsid w:val="00515B5F"/>
    <w:rsid w:val="00515DAE"/>
    <w:rsid w:val="0051746B"/>
    <w:rsid w:val="00520036"/>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5284"/>
    <w:rsid w:val="00565332"/>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B6590"/>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29CE"/>
    <w:rsid w:val="005E52D7"/>
    <w:rsid w:val="005E57A1"/>
    <w:rsid w:val="005E58B6"/>
    <w:rsid w:val="005E5990"/>
    <w:rsid w:val="005F0DE8"/>
    <w:rsid w:val="005F1FBE"/>
    <w:rsid w:val="005F2D87"/>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10EF"/>
    <w:rsid w:val="00662EAD"/>
    <w:rsid w:val="00662FB7"/>
    <w:rsid w:val="006634B8"/>
    <w:rsid w:val="00665144"/>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D85"/>
    <w:rsid w:val="006D57FB"/>
    <w:rsid w:val="006D60A8"/>
    <w:rsid w:val="006D6D52"/>
    <w:rsid w:val="006D6F16"/>
    <w:rsid w:val="006D716D"/>
    <w:rsid w:val="006D75D9"/>
    <w:rsid w:val="006D7619"/>
    <w:rsid w:val="006D7985"/>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427"/>
    <w:rsid w:val="008A3312"/>
    <w:rsid w:val="008A4260"/>
    <w:rsid w:val="008A4B3A"/>
    <w:rsid w:val="008A4D2F"/>
    <w:rsid w:val="008A4E83"/>
    <w:rsid w:val="008A60FF"/>
    <w:rsid w:val="008A6641"/>
    <w:rsid w:val="008A7736"/>
    <w:rsid w:val="008B0A27"/>
    <w:rsid w:val="008B2920"/>
    <w:rsid w:val="008B494B"/>
    <w:rsid w:val="008B6030"/>
    <w:rsid w:val="008C05F4"/>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283"/>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10A"/>
    <w:rsid w:val="0092441A"/>
    <w:rsid w:val="0092530C"/>
    <w:rsid w:val="00931E59"/>
    <w:rsid w:val="009322F2"/>
    <w:rsid w:val="0093328E"/>
    <w:rsid w:val="00933BB5"/>
    <w:rsid w:val="0093725F"/>
    <w:rsid w:val="0093799E"/>
    <w:rsid w:val="00937E33"/>
    <w:rsid w:val="009416F5"/>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34D8"/>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7A6B"/>
    <w:rsid w:val="00AE7D0F"/>
    <w:rsid w:val="00AF05EB"/>
    <w:rsid w:val="00AF0E2B"/>
    <w:rsid w:val="00AF1310"/>
    <w:rsid w:val="00AF1F04"/>
    <w:rsid w:val="00AF2134"/>
    <w:rsid w:val="00AF337A"/>
    <w:rsid w:val="00AF3E30"/>
    <w:rsid w:val="00AF5437"/>
    <w:rsid w:val="00AF5631"/>
    <w:rsid w:val="00AF744F"/>
    <w:rsid w:val="00AF75BE"/>
    <w:rsid w:val="00AF78AE"/>
    <w:rsid w:val="00B009C4"/>
    <w:rsid w:val="00B00C96"/>
    <w:rsid w:val="00B01DB5"/>
    <w:rsid w:val="00B058D3"/>
    <w:rsid w:val="00B10EBC"/>
    <w:rsid w:val="00B12C3B"/>
    <w:rsid w:val="00B12CB3"/>
    <w:rsid w:val="00B12EF7"/>
    <w:rsid w:val="00B14D09"/>
    <w:rsid w:val="00B14D91"/>
    <w:rsid w:val="00B17653"/>
    <w:rsid w:val="00B202C2"/>
    <w:rsid w:val="00B202F1"/>
    <w:rsid w:val="00B205A5"/>
    <w:rsid w:val="00B2075D"/>
    <w:rsid w:val="00B20767"/>
    <w:rsid w:val="00B2265E"/>
    <w:rsid w:val="00B26342"/>
    <w:rsid w:val="00B2681C"/>
    <w:rsid w:val="00B26C0F"/>
    <w:rsid w:val="00B3087A"/>
    <w:rsid w:val="00B31A8E"/>
    <w:rsid w:val="00B325F5"/>
    <w:rsid w:val="00B3289B"/>
    <w:rsid w:val="00B32D75"/>
    <w:rsid w:val="00B3361F"/>
    <w:rsid w:val="00B339CD"/>
    <w:rsid w:val="00B342AC"/>
    <w:rsid w:val="00B410F3"/>
    <w:rsid w:val="00B42710"/>
    <w:rsid w:val="00B4397A"/>
    <w:rsid w:val="00B4684A"/>
    <w:rsid w:val="00B51895"/>
    <w:rsid w:val="00B53B8E"/>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692A"/>
    <w:rsid w:val="00B7737D"/>
    <w:rsid w:val="00B774A4"/>
    <w:rsid w:val="00B80FAF"/>
    <w:rsid w:val="00B836ED"/>
    <w:rsid w:val="00B848C9"/>
    <w:rsid w:val="00B85D36"/>
    <w:rsid w:val="00B92A02"/>
    <w:rsid w:val="00B93E09"/>
    <w:rsid w:val="00B93EE0"/>
    <w:rsid w:val="00B96BFE"/>
    <w:rsid w:val="00BA0940"/>
    <w:rsid w:val="00BA267A"/>
    <w:rsid w:val="00BA3A0E"/>
    <w:rsid w:val="00BA3D0B"/>
    <w:rsid w:val="00BA5A0C"/>
    <w:rsid w:val="00BB010E"/>
    <w:rsid w:val="00BB0244"/>
    <w:rsid w:val="00BB308A"/>
    <w:rsid w:val="00BB3744"/>
    <w:rsid w:val="00BB3C1A"/>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1F70"/>
    <w:rsid w:val="00CB25C5"/>
    <w:rsid w:val="00CB2C08"/>
    <w:rsid w:val="00CB3FA8"/>
    <w:rsid w:val="00CB414B"/>
    <w:rsid w:val="00CB7374"/>
    <w:rsid w:val="00CB77C7"/>
    <w:rsid w:val="00CB79AA"/>
    <w:rsid w:val="00CB7DB8"/>
    <w:rsid w:val="00CC109A"/>
    <w:rsid w:val="00CC27A1"/>
    <w:rsid w:val="00CC29CE"/>
    <w:rsid w:val="00CC2EC6"/>
    <w:rsid w:val="00CC423C"/>
    <w:rsid w:val="00CC440C"/>
    <w:rsid w:val="00CC48B9"/>
    <w:rsid w:val="00CC4D1A"/>
    <w:rsid w:val="00CC5DFD"/>
    <w:rsid w:val="00CC6844"/>
    <w:rsid w:val="00CC7C8D"/>
    <w:rsid w:val="00CC7E95"/>
    <w:rsid w:val="00CD13E5"/>
    <w:rsid w:val="00CD1BD3"/>
    <w:rsid w:val="00CD3320"/>
    <w:rsid w:val="00CD3DB2"/>
    <w:rsid w:val="00CD4094"/>
    <w:rsid w:val="00CD66F3"/>
    <w:rsid w:val="00CD6D6B"/>
    <w:rsid w:val="00CD780D"/>
    <w:rsid w:val="00CE00C9"/>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1F77"/>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244A"/>
    <w:rsid w:val="00D63046"/>
    <w:rsid w:val="00D65BEE"/>
    <w:rsid w:val="00D66AA4"/>
    <w:rsid w:val="00D675D0"/>
    <w:rsid w:val="00D701A1"/>
    <w:rsid w:val="00D71842"/>
    <w:rsid w:val="00D71AA1"/>
    <w:rsid w:val="00D72E1A"/>
    <w:rsid w:val="00D74EF6"/>
    <w:rsid w:val="00D8023F"/>
    <w:rsid w:val="00D8196F"/>
    <w:rsid w:val="00D825C7"/>
    <w:rsid w:val="00D84E2B"/>
    <w:rsid w:val="00D87747"/>
    <w:rsid w:val="00D87CA4"/>
    <w:rsid w:val="00D90384"/>
    <w:rsid w:val="00D90C34"/>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6EA7"/>
    <w:rsid w:val="00E2793E"/>
    <w:rsid w:val="00E3384C"/>
    <w:rsid w:val="00E34C2E"/>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451"/>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1548"/>
    <w:rsid w:val="00F01774"/>
    <w:rsid w:val="00F01D83"/>
    <w:rsid w:val="00F01FD0"/>
    <w:rsid w:val="00F02E1C"/>
    <w:rsid w:val="00F0387E"/>
    <w:rsid w:val="00F03B43"/>
    <w:rsid w:val="00F040F9"/>
    <w:rsid w:val="00F061C9"/>
    <w:rsid w:val="00F06541"/>
    <w:rsid w:val="00F070D6"/>
    <w:rsid w:val="00F07F4E"/>
    <w:rsid w:val="00F11730"/>
    <w:rsid w:val="00F133E1"/>
    <w:rsid w:val="00F1444B"/>
    <w:rsid w:val="00F15D19"/>
    <w:rsid w:val="00F16046"/>
    <w:rsid w:val="00F173FD"/>
    <w:rsid w:val="00F20368"/>
    <w:rsid w:val="00F2058B"/>
    <w:rsid w:val="00F20DB4"/>
    <w:rsid w:val="00F212BA"/>
    <w:rsid w:val="00F22284"/>
    <w:rsid w:val="00F229F9"/>
    <w:rsid w:val="00F2372B"/>
    <w:rsid w:val="00F23E02"/>
    <w:rsid w:val="00F2776C"/>
    <w:rsid w:val="00F27C7B"/>
    <w:rsid w:val="00F30800"/>
    <w:rsid w:val="00F30825"/>
    <w:rsid w:val="00F30B86"/>
    <w:rsid w:val="00F30E59"/>
    <w:rsid w:val="00F3162C"/>
    <w:rsid w:val="00F32027"/>
    <w:rsid w:val="00F32A82"/>
    <w:rsid w:val="00F32FFD"/>
    <w:rsid w:val="00F34BD1"/>
    <w:rsid w:val="00F3545D"/>
    <w:rsid w:val="00F3659C"/>
    <w:rsid w:val="00F370D1"/>
    <w:rsid w:val="00F37941"/>
    <w:rsid w:val="00F40FFA"/>
    <w:rsid w:val="00F418C6"/>
    <w:rsid w:val="00F432E5"/>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5692"/>
    <w:rsid w:val="00FA7364"/>
    <w:rsid w:val="00FA7C6D"/>
    <w:rsid w:val="00FB03EA"/>
    <w:rsid w:val="00FB1962"/>
    <w:rsid w:val="00FB4F84"/>
    <w:rsid w:val="00FB52F3"/>
    <w:rsid w:val="00FB556B"/>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81573527">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65C23-8F40-41A5-B6E5-09187DC7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4</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229</cp:revision>
  <cp:lastPrinted>2012-03-15T10:36:00Z</cp:lastPrinted>
  <dcterms:created xsi:type="dcterms:W3CDTF">2016-03-31T10:20:00Z</dcterms:created>
  <dcterms:modified xsi:type="dcterms:W3CDTF">2016-11-04T19:36:00Z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